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81082" w14:textId="192B337A" w:rsidR="00082B2D" w:rsidRDefault="007A5921">
      <w:pPr>
        <w:pStyle w:val="BodyText"/>
        <w:spacing w:before="0"/>
        <w:ind w:left="0" w:firstLine="0"/>
        <w:rPr>
          <w:b/>
          <w:sz w:val="26"/>
        </w:rPr>
      </w:pPr>
      <w:r>
        <w:rPr>
          <w:b/>
          <w:sz w:val="26"/>
        </w:rPr>
        <w:t>Rakon Energy submits the following comments in response to the Commission</w:t>
      </w:r>
      <w:r w:rsidR="00F27829">
        <w:rPr>
          <w:b/>
          <w:sz w:val="26"/>
        </w:rPr>
        <w:t>'</w:t>
      </w:r>
      <w:r>
        <w:rPr>
          <w:b/>
          <w:sz w:val="26"/>
        </w:rPr>
        <w:t xml:space="preserve">s request for comments </w:t>
      </w:r>
      <w:r w:rsidR="00F27829">
        <w:rPr>
          <w:b/>
          <w:sz w:val="26"/>
        </w:rPr>
        <w:t>o</w:t>
      </w:r>
      <w:r>
        <w:rPr>
          <w:b/>
          <w:sz w:val="26"/>
        </w:rPr>
        <w:t xml:space="preserve">n </w:t>
      </w:r>
      <w:r w:rsidRPr="007A5921">
        <w:rPr>
          <w:b/>
          <w:sz w:val="26"/>
        </w:rPr>
        <w:t>Project No. 54584</w:t>
      </w:r>
      <w:r>
        <w:rPr>
          <w:b/>
          <w:sz w:val="26"/>
        </w:rPr>
        <w:t xml:space="preserve">. </w:t>
      </w:r>
    </w:p>
    <w:p w14:paraId="23A1907D" w14:textId="0830BEE4" w:rsidR="007A5921" w:rsidRDefault="007A5921">
      <w:pPr>
        <w:pStyle w:val="BodyText"/>
        <w:spacing w:before="0"/>
        <w:ind w:left="0" w:firstLine="0"/>
        <w:rPr>
          <w:b/>
          <w:sz w:val="26"/>
        </w:rPr>
      </w:pPr>
    </w:p>
    <w:p w14:paraId="5117DC23" w14:textId="29629AC6" w:rsidR="007A5921" w:rsidRPr="007A5921" w:rsidRDefault="007A5921">
      <w:pPr>
        <w:pStyle w:val="BodyText"/>
        <w:spacing w:before="0"/>
        <w:ind w:left="0" w:firstLine="0"/>
        <w:rPr>
          <w:bCs/>
          <w:sz w:val="26"/>
        </w:rPr>
      </w:pPr>
      <w:r w:rsidRPr="007A5921">
        <w:rPr>
          <w:bCs/>
          <w:sz w:val="26"/>
        </w:rPr>
        <w:t>Rakon Energy is an independent energy consultant. Rao Konidena, formerly employed with the Midcontinent Independent System Operator (MISO)</w:t>
      </w:r>
      <w:r w:rsidR="00F27829">
        <w:rPr>
          <w:bCs/>
          <w:sz w:val="26"/>
        </w:rPr>
        <w:t>,</w:t>
      </w:r>
      <w:r w:rsidRPr="007A5921">
        <w:rPr>
          <w:bCs/>
          <w:sz w:val="26"/>
        </w:rPr>
        <w:t xml:space="preserve"> is the President of Rakon Energy LLC.</w:t>
      </w:r>
      <w:r>
        <w:rPr>
          <w:bCs/>
          <w:sz w:val="26"/>
        </w:rPr>
        <w:t xml:space="preserve"> Rao Konidena is experienced with Loss of Load Expectation analysis. </w:t>
      </w:r>
      <w:r w:rsidRPr="007A5921">
        <w:rPr>
          <w:bCs/>
          <w:sz w:val="26"/>
        </w:rPr>
        <w:t xml:space="preserve">  </w:t>
      </w:r>
    </w:p>
    <w:p w14:paraId="31AE3720" w14:textId="77777777" w:rsidR="00082B2D" w:rsidRDefault="00082B2D">
      <w:pPr>
        <w:pStyle w:val="BodyText"/>
        <w:spacing w:before="8"/>
        <w:ind w:left="0" w:firstLine="0"/>
        <w:rPr>
          <w:b/>
          <w:sz w:val="29"/>
        </w:rPr>
      </w:pPr>
    </w:p>
    <w:p w14:paraId="03858FAF" w14:textId="77777777" w:rsidR="00082B2D" w:rsidRPr="0017533D" w:rsidRDefault="00000000">
      <w:pPr>
        <w:pStyle w:val="ListParagraph"/>
        <w:numPr>
          <w:ilvl w:val="0"/>
          <w:numId w:val="1"/>
        </w:numPr>
        <w:tabs>
          <w:tab w:val="left" w:pos="440"/>
        </w:tabs>
        <w:spacing w:before="1" w:line="259" w:lineRule="auto"/>
        <w:ind w:right="225" w:hanging="360"/>
        <w:rPr>
          <w:b/>
          <w:bCs/>
          <w:sz w:val="24"/>
        </w:rPr>
      </w:pPr>
      <w:r w:rsidRPr="0017533D">
        <w:rPr>
          <w:b/>
          <w:bCs/>
          <w:color w:val="231F20"/>
          <w:sz w:val="24"/>
        </w:rPr>
        <w:t>The</w:t>
      </w:r>
      <w:r w:rsidRPr="0017533D">
        <w:rPr>
          <w:b/>
          <w:bCs/>
          <w:color w:val="231F20"/>
          <w:spacing w:val="-4"/>
          <w:sz w:val="24"/>
        </w:rPr>
        <w:t xml:space="preserve"> </w:t>
      </w:r>
      <w:r w:rsidRPr="0017533D">
        <w:rPr>
          <w:b/>
          <w:bCs/>
          <w:color w:val="231F20"/>
          <w:sz w:val="24"/>
        </w:rPr>
        <w:t>Commission</w:t>
      </w:r>
      <w:r w:rsidRPr="0017533D">
        <w:rPr>
          <w:b/>
          <w:bCs/>
          <w:color w:val="231F20"/>
          <w:spacing w:val="-4"/>
          <w:sz w:val="24"/>
        </w:rPr>
        <w:t xml:space="preserve"> </w:t>
      </w:r>
      <w:r w:rsidRPr="0017533D">
        <w:rPr>
          <w:b/>
          <w:bCs/>
          <w:color w:val="231F20"/>
          <w:sz w:val="24"/>
        </w:rPr>
        <w:t>has</w:t>
      </w:r>
      <w:r w:rsidRPr="0017533D">
        <w:rPr>
          <w:b/>
          <w:bCs/>
          <w:color w:val="231F20"/>
          <w:spacing w:val="-4"/>
          <w:sz w:val="24"/>
        </w:rPr>
        <w:t xml:space="preserve"> </w:t>
      </w:r>
      <w:r w:rsidRPr="0017533D">
        <w:rPr>
          <w:b/>
          <w:bCs/>
          <w:color w:val="231F20"/>
          <w:sz w:val="24"/>
        </w:rPr>
        <w:t>previously</w:t>
      </w:r>
      <w:r w:rsidRPr="0017533D">
        <w:rPr>
          <w:b/>
          <w:bCs/>
          <w:color w:val="231F20"/>
          <w:spacing w:val="-4"/>
          <w:sz w:val="24"/>
        </w:rPr>
        <w:t xml:space="preserve"> </w:t>
      </w:r>
      <w:r w:rsidRPr="0017533D">
        <w:rPr>
          <w:b/>
          <w:bCs/>
          <w:color w:val="231F20"/>
          <w:sz w:val="24"/>
        </w:rPr>
        <w:t>considered</w:t>
      </w:r>
      <w:r w:rsidRPr="0017533D">
        <w:rPr>
          <w:b/>
          <w:bCs/>
          <w:color w:val="231F20"/>
          <w:spacing w:val="-4"/>
          <w:sz w:val="24"/>
        </w:rPr>
        <w:t xml:space="preserve"> </w:t>
      </w:r>
      <w:r w:rsidRPr="0017533D">
        <w:rPr>
          <w:b/>
          <w:bCs/>
          <w:color w:val="231F20"/>
          <w:sz w:val="24"/>
        </w:rPr>
        <w:t>various</w:t>
      </w:r>
      <w:r w:rsidRPr="0017533D">
        <w:rPr>
          <w:b/>
          <w:bCs/>
          <w:color w:val="231F20"/>
          <w:spacing w:val="-2"/>
          <w:sz w:val="24"/>
        </w:rPr>
        <w:t xml:space="preserve"> </w:t>
      </w:r>
      <w:r w:rsidRPr="0017533D">
        <w:rPr>
          <w:b/>
          <w:bCs/>
          <w:color w:val="231F20"/>
          <w:sz w:val="24"/>
        </w:rPr>
        <w:t>reliability</w:t>
      </w:r>
      <w:r w:rsidRPr="0017533D">
        <w:rPr>
          <w:b/>
          <w:bCs/>
          <w:color w:val="231F20"/>
          <w:spacing w:val="-3"/>
          <w:sz w:val="24"/>
        </w:rPr>
        <w:t xml:space="preserve"> </w:t>
      </w:r>
      <w:r w:rsidRPr="0017533D">
        <w:rPr>
          <w:b/>
          <w:bCs/>
          <w:color w:val="231F20"/>
          <w:sz w:val="24"/>
        </w:rPr>
        <w:t>metrics,</w:t>
      </w:r>
      <w:r w:rsidRPr="0017533D">
        <w:rPr>
          <w:b/>
          <w:bCs/>
          <w:color w:val="231F20"/>
          <w:spacing w:val="-3"/>
          <w:sz w:val="24"/>
        </w:rPr>
        <w:t xml:space="preserve"> </w:t>
      </w:r>
      <w:r w:rsidRPr="0017533D">
        <w:rPr>
          <w:b/>
          <w:bCs/>
          <w:color w:val="231F20"/>
          <w:sz w:val="24"/>
        </w:rPr>
        <w:t>such</w:t>
      </w:r>
      <w:r w:rsidRPr="0017533D">
        <w:rPr>
          <w:b/>
          <w:bCs/>
          <w:color w:val="231F20"/>
          <w:spacing w:val="-4"/>
          <w:sz w:val="24"/>
        </w:rPr>
        <w:t xml:space="preserve"> </w:t>
      </w:r>
      <w:r w:rsidRPr="0017533D">
        <w:rPr>
          <w:b/>
          <w:bCs/>
          <w:color w:val="231F20"/>
          <w:sz w:val="24"/>
        </w:rPr>
        <w:t>as</w:t>
      </w:r>
      <w:r w:rsidRPr="0017533D">
        <w:rPr>
          <w:b/>
          <w:bCs/>
          <w:color w:val="231F20"/>
          <w:spacing w:val="-3"/>
          <w:sz w:val="24"/>
        </w:rPr>
        <w:t xml:space="preserve"> </w:t>
      </w:r>
      <w:r w:rsidRPr="0017533D">
        <w:rPr>
          <w:b/>
          <w:bCs/>
          <w:color w:val="231F20"/>
          <w:sz w:val="24"/>
        </w:rPr>
        <w:t>Loss</w:t>
      </w:r>
      <w:r w:rsidRPr="0017533D">
        <w:rPr>
          <w:b/>
          <w:bCs/>
          <w:color w:val="231F20"/>
          <w:spacing w:val="-3"/>
          <w:sz w:val="24"/>
        </w:rPr>
        <w:t xml:space="preserve"> </w:t>
      </w:r>
      <w:r w:rsidRPr="0017533D">
        <w:rPr>
          <w:b/>
          <w:bCs/>
          <w:color w:val="231F20"/>
          <w:sz w:val="24"/>
        </w:rPr>
        <w:t>of</w:t>
      </w:r>
      <w:r w:rsidRPr="0017533D">
        <w:rPr>
          <w:b/>
          <w:bCs/>
          <w:color w:val="231F20"/>
          <w:spacing w:val="-3"/>
          <w:sz w:val="24"/>
        </w:rPr>
        <w:t xml:space="preserve"> </w:t>
      </w:r>
      <w:r w:rsidRPr="0017533D">
        <w:rPr>
          <w:b/>
          <w:bCs/>
          <w:color w:val="231F20"/>
          <w:sz w:val="24"/>
        </w:rPr>
        <w:t>Load Expectation (LOLE), Loss of Load Hours (LOLH), and Expected Unserved Energy (EUE).</w:t>
      </w:r>
    </w:p>
    <w:p w14:paraId="593CD845" w14:textId="77777777" w:rsidR="006F7D18" w:rsidRPr="0017533D" w:rsidRDefault="00000000">
      <w:pPr>
        <w:pStyle w:val="ListParagraph"/>
        <w:numPr>
          <w:ilvl w:val="1"/>
          <w:numId w:val="1"/>
        </w:numPr>
        <w:tabs>
          <w:tab w:val="left" w:pos="820"/>
          <w:tab w:val="left" w:pos="822"/>
        </w:tabs>
        <w:spacing w:before="157" w:line="259" w:lineRule="auto"/>
        <w:ind w:right="141" w:hanging="720"/>
        <w:rPr>
          <w:b/>
          <w:bCs/>
          <w:sz w:val="24"/>
        </w:rPr>
      </w:pPr>
      <w:r w:rsidRPr="0017533D">
        <w:rPr>
          <w:b/>
          <w:bCs/>
          <w:color w:val="231F20"/>
          <w:sz w:val="24"/>
        </w:rPr>
        <w:t>Which</w:t>
      </w:r>
      <w:r w:rsidRPr="0017533D">
        <w:rPr>
          <w:b/>
          <w:bCs/>
          <w:color w:val="231F20"/>
          <w:spacing w:val="-4"/>
          <w:sz w:val="24"/>
        </w:rPr>
        <w:t xml:space="preserve"> </w:t>
      </w:r>
      <w:r w:rsidRPr="0017533D">
        <w:rPr>
          <w:b/>
          <w:bCs/>
          <w:color w:val="231F20"/>
          <w:sz w:val="24"/>
        </w:rPr>
        <w:t>reliability</w:t>
      </w:r>
      <w:r w:rsidRPr="0017533D">
        <w:rPr>
          <w:b/>
          <w:bCs/>
          <w:color w:val="231F20"/>
          <w:spacing w:val="-4"/>
          <w:sz w:val="24"/>
        </w:rPr>
        <w:t xml:space="preserve"> </w:t>
      </w:r>
      <w:r w:rsidRPr="0017533D">
        <w:rPr>
          <w:b/>
          <w:bCs/>
          <w:color w:val="231F20"/>
          <w:sz w:val="24"/>
        </w:rPr>
        <w:t>metrics,</w:t>
      </w:r>
      <w:r w:rsidRPr="0017533D">
        <w:rPr>
          <w:b/>
          <w:bCs/>
          <w:color w:val="231F20"/>
          <w:spacing w:val="-4"/>
          <w:sz w:val="24"/>
        </w:rPr>
        <w:t xml:space="preserve"> </w:t>
      </w:r>
      <w:r w:rsidRPr="0017533D">
        <w:rPr>
          <w:b/>
          <w:bCs/>
          <w:color w:val="231F20"/>
          <w:sz w:val="24"/>
        </w:rPr>
        <w:t>including</w:t>
      </w:r>
      <w:r w:rsidRPr="0017533D">
        <w:rPr>
          <w:b/>
          <w:bCs/>
          <w:color w:val="231F20"/>
          <w:spacing w:val="-4"/>
          <w:sz w:val="24"/>
        </w:rPr>
        <w:t xml:space="preserve"> </w:t>
      </w:r>
      <w:r w:rsidRPr="0017533D">
        <w:rPr>
          <w:b/>
          <w:bCs/>
          <w:color w:val="231F20"/>
          <w:sz w:val="24"/>
        </w:rPr>
        <w:t>those</w:t>
      </w:r>
      <w:r w:rsidRPr="0017533D">
        <w:rPr>
          <w:b/>
          <w:bCs/>
          <w:color w:val="231F20"/>
          <w:spacing w:val="-4"/>
          <w:sz w:val="24"/>
        </w:rPr>
        <w:t xml:space="preserve"> </w:t>
      </w:r>
      <w:r w:rsidRPr="0017533D">
        <w:rPr>
          <w:b/>
          <w:bCs/>
          <w:color w:val="231F20"/>
          <w:sz w:val="24"/>
        </w:rPr>
        <w:t>not</w:t>
      </w:r>
      <w:r w:rsidRPr="0017533D">
        <w:rPr>
          <w:b/>
          <w:bCs/>
          <w:color w:val="231F20"/>
          <w:spacing w:val="-4"/>
          <w:sz w:val="24"/>
        </w:rPr>
        <w:t xml:space="preserve"> </w:t>
      </w:r>
      <w:r w:rsidRPr="0017533D">
        <w:rPr>
          <w:b/>
          <w:bCs/>
          <w:color w:val="231F20"/>
          <w:sz w:val="24"/>
        </w:rPr>
        <w:t>previously</w:t>
      </w:r>
      <w:r w:rsidRPr="0017533D">
        <w:rPr>
          <w:b/>
          <w:bCs/>
          <w:color w:val="231F20"/>
          <w:spacing w:val="-3"/>
          <w:sz w:val="24"/>
        </w:rPr>
        <w:t xml:space="preserve"> </w:t>
      </w:r>
      <w:r w:rsidRPr="0017533D">
        <w:rPr>
          <w:b/>
          <w:bCs/>
          <w:color w:val="231F20"/>
          <w:sz w:val="24"/>
        </w:rPr>
        <w:t>studied,</w:t>
      </w:r>
      <w:r w:rsidRPr="0017533D">
        <w:rPr>
          <w:b/>
          <w:bCs/>
          <w:color w:val="231F20"/>
          <w:spacing w:val="-3"/>
          <w:sz w:val="24"/>
        </w:rPr>
        <w:t xml:space="preserve"> </w:t>
      </w:r>
      <w:r w:rsidRPr="0017533D">
        <w:rPr>
          <w:b/>
          <w:bCs/>
          <w:color w:val="231F20"/>
          <w:sz w:val="24"/>
        </w:rPr>
        <w:t>should</w:t>
      </w:r>
      <w:r w:rsidRPr="0017533D">
        <w:rPr>
          <w:b/>
          <w:bCs/>
          <w:color w:val="231F20"/>
          <w:spacing w:val="-3"/>
          <w:sz w:val="24"/>
        </w:rPr>
        <w:t xml:space="preserve"> </w:t>
      </w:r>
      <w:r w:rsidRPr="0017533D">
        <w:rPr>
          <w:b/>
          <w:bCs/>
          <w:color w:val="231F20"/>
          <w:sz w:val="24"/>
        </w:rPr>
        <w:t>the</w:t>
      </w:r>
      <w:r w:rsidRPr="0017533D">
        <w:rPr>
          <w:b/>
          <w:bCs/>
          <w:color w:val="231F20"/>
          <w:spacing w:val="-6"/>
          <w:sz w:val="24"/>
        </w:rPr>
        <w:t xml:space="preserve"> </w:t>
      </w:r>
      <w:r w:rsidRPr="0017533D">
        <w:rPr>
          <w:b/>
          <w:bCs/>
          <w:color w:val="231F20"/>
          <w:sz w:val="24"/>
        </w:rPr>
        <w:t>Commission consider in establishing a reliability standard for the ERCOT power region?</w:t>
      </w:r>
      <w:r w:rsidR="006F7D18" w:rsidRPr="0017533D">
        <w:rPr>
          <w:b/>
          <w:bCs/>
          <w:color w:val="231F20"/>
          <w:sz w:val="24"/>
        </w:rPr>
        <w:t xml:space="preserve"> </w:t>
      </w:r>
    </w:p>
    <w:p w14:paraId="725444B7" w14:textId="710DC45C" w:rsidR="00677EBB" w:rsidRDefault="006F7D18" w:rsidP="00B16BF9">
      <w:pPr>
        <w:tabs>
          <w:tab w:val="left" w:pos="820"/>
          <w:tab w:val="left" w:pos="822"/>
        </w:tabs>
        <w:spacing w:before="157" w:line="259" w:lineRule="auto"/>
        <w:ind w:left="100" w:right="141"/>
        <w:rPr>
          <w:color w:val="231F20"/>
          <w:sz w:val="24"/>
        </w:rPr>
      </w:pPr>
      <w:r w:rsidRPr="00B16BF9">
        <w:rPr>
          <w:color w:val="231F20"/>
          <w:sz w:val="24"/>
        </w:rPr>
        <w:t>The Commission should look at reliability metrics from the lens of distributed energy and load resources. The Commission should note that the current reliability metric of one day in 10</w:t>
      </w:r>
      <w:r w:rsidR="00F27829">
        <w:rPr>
          <w:color w:val="231F20"/>
          <w:sz w:val="24"/>
        </w:rPr>
        <w:t>-</w:t>
      </w:r>
      <w:r w:rsidR="00B16BF9">
        <w:rPr>
          <w:color w:val="231F20"/>
          <w:sz w:val="24"/>
        </w:rPr>
        <w:t xml:space="preserve">year </w:t>
      </w:r>
      <w:r w:rsidRPr="00B16BF9">
        <w:rPr>
          <w:color w:val="231F20"/>
          <w:sz w:val="24"/>
        </w:rPr>
        <w:t>standard started in the industry to put a value on the interconnection support needed for an area from its neighbor. It is commonly understood that if an area does not receive external support</w:t>
      </w:r>
      <w:r w:rsidR="00F27829">
        <w:rPr>
          <w:color w:val="231F20"/>
          <w:sz w:val="24"/>
        </w:rPr>
        <w:t>, then the area's reserve margin will be higher than the area receiving</w:t>
      </w:r>
      <w:r w:rsidRPr="00B16BF9">
        <w:rPr>
          <w:color w:val="231F20"/>
          <w:sz w:val="24"/>
        </w:rPr>
        <w:t xml:space="preserve"> external support. How much support does an area need depends upon how much reliability does the area have to start with? For example, if an area had a loss of load probability </w:t>
      </w:r>
      <w:r w:rsidR="00F27829">
        <w:rPr>
          <w:color w:val="231F20"/>
          <w:sz w:val="24"/>
        </w:rPr>
        <w:t xml:space="preserve">of </w:t>
      </w:r>
      <w:r w:rsidRPr="00B16BF9">
        <w:rPr>
          <w:color w:val="231F20"/>
          <w:sz w:val="24"/>
        </w:rPr>
        <w:t>0.3</w:t>
      </w:r>
      <w:r w:rsidR="00F27829">
        <w:rPr>
          <w:color w:val="231F20"/>
          <w:sz w:val="24"/>
        </w:rPr>
        <w:t>,</w:t>
      </w:r>
      <w:r w:rsidRPr="00B16BF9">
        <w:rPr>
          <w:color w:val="231F20"/>
          <w:sz w:val="24"/>
        </w:rPr>
        <w:t xml:space="preserve"> which is three days in 10 years, the area needs external support to bring the probability down to one day in 10 years. Hence the amount of external support needed for this area to meet the reliability standard is the difference between</w:t>
      </w:r>
      <w:r w:rsidR="00677EBB">
        <w:rPr>
          <w:color w:val="231F20"/>
          <w:sz w:val="24"/>
        </w:rPr>
        <w:t xml:space="preserve"> 0</w:t>
      </w:r>
      <w:r w:rsidRPr="00B16BF9">
        <w:rPr>
          <w:color w:val="231F20"/>
          <w:sz w:val="24"/>
        </w:rPr>
        <w:t xml:space="preserve">.3 and </w:t>
      </w:r>
      <w:r w:rsidR="00677EBB">
        <w:rPr>
          <w:color w:val="231F20"/>
          <w:sz w:val="24"/>
        </w:rPr>
        <w:t>0</w:t>
      </w:r>
      <w:r w:rsidRPr="00B16BF9">
        <w:rPr>
          <w:color w:val="231F20"/>
          <w:sz w:val="24"/>
        </w:rPr>
        <w:t xml:space="preserve">.1. </w:t>
      </w:r>
      <w:r w:rsidR="00677EBB" w:rsidRPr="00B16BF9">
        <w:rPr>
          <w:color w:val="231F20"/>
          <w:sz w:val="24"/>
        </w:rPr>
        <w:t>So,</w:t>
      </w:r>
      <w:r w:rsidRPr="00B16BF9">
        <w:rPr>
          <w:color w:val="231F20"/>
          <w:sz w:val="24"/>
        </w:rPr>
        <w:t xml:space="preserve"> the external capacity has to deliver to an area </w:t>
      </w:r>
      <w:r w:rsidR="00F27829">
        <w:rPr>
          <w:color w:val="231F20"/>
          <w:sz w:val="24"/>
        </w:rPr>
        <w:t xml:space="preserve">of </w:t>
      </w:r>
      <w:r w:rsidRPr="00B16BF9">
        <w:rPr>
          <w:color w:val="231F20"/>
          <w:sz w:val="24"/>
        </w:rPr>
        <w:t>at least</w:t>
      </w:r>
      <w:r w:rsidR="00677EBB">
        <w:rPr>
          <w:color w:val="231F20"/>
          <w:sz w:val="24"/>
        </w:rPr>
        <w:t xml:space="preserve"> 0</w:t>
      </w:r>
      <w:r w:rsidRPr="00B16BF9">
        <w:rPr>
          <w:color w:val="231F20"/>
          <w:sz w:val="24"/>
        </w:rPr>
        <w:t>.2</w:t>
      </w:r>
      <w:r w:rsidR="00F27829">
        <w:rPr>
          <w:color w:val="231F20"/>
          <w:sz w:val="24"/>
        </w:rPr>
        <w:t>,</w:t>
      </w:r>
      <w:r w:rsidRPr="00B16BF9">
        <w:rPr>
          <w:color w:val="231F20"/>
          <w:sz w:val="24"/>
        </w:rPr>
        <w:t xml:space="preserve"> two days in 10</w:t>
      </w:r>
      <w:r w:rsidR="00F27829">
        <w:rPr>
          <w:color w:val="231F20"/>
          <w:sz w:val="24"/>
        </w:rPr>
        <w:t>-</w:t>
      </w:r>
      <w:r w:rsidRPr="00B16BF9">
        <w:rPr>
          <w:color w:val="231F20"/>
          <w:sz w:val="24"/>
        </w:rPr>
        <w:t>year reliability. That's how the industry started using these reliability metrics</w:t>
      </w:r>
      <w:r w:rsidR="0017533D" w:rsidRPr="00B16BF9">
        <w:rPr>
          <w:color w:val="231F20"/>
          <w:sz w:val="24"/>
        </w:rPr>
        <w:t xml:space="preserve"> - </w:t>
      </w:r>
      <w:r w:rsidRPr="00B16BF9">
        <w:rPr>
          <w:color w:val="231F20"/>
          <w:sz w:val="24"/>
        </w:rPr>
        <w:t xml:space="preserve"> loss of load expectation and loss of load probability. </w:t>
      </w:r>
    </w:p>
    <w:p w14:paraId="1F95E6ED" w14:textId="4E9C0F5E" w:rsidR="00677EBB" w:rsidRDefault="006F7D18" w:rsidP="00B16BF9">
      <w:pPr>
        <w:tabs>
          <w:tab w:val="left" w:pos="820"/>
          <w:tab w:val="left" w:pos="822"/>
        </w:tabs>
        <w:spacing w:before="157" w:line="259" w:lineRule="auto"/>
        <w:ind w:left="100" w:right="141"/>
        <w:rPr>
          <w:color w:val="231F20"/>
          <w:sz w:val="24"/>
        </w:rPr>
      </w:pPr>
      <w:r w:rsidRPr="00B16BF9">
        <w:rPr>
          <w:color w:val="231F20"/>
          <w:sz w:val="24"/>
        </w:rPr>
        <w:t xml:space="preserve">The loss of load hours </w:t>
      </w:r>
      <w:r w:rsidR="00F27829">
        <w:rPr>
          <w:color w:val="231F20"/>
          <w:sz w:val="24"/>
        </w:rPr>
        <w:t>translates</w:t>
      </w:r>
      <w:r w:rsidRPr="00B16BF9">
        <w:rPr>
          <w:color w:val="231F20"/>
          <w:sz w:val="24"/>
        </w:rPr>
        <w:t xml:space="preserve"> the loss of load expectation of one day in 10 years to an hourly metric. Since there are 24 hours in a day</w:t>
      </w:r>
      <w:r w:rsidR="00F27829">
        <w:rPr>
          <w:color w:val="231F20"/>
          <w:sz w:val="24"/>
        </w:rPr>
        <w:t>,</w:t>
      </w:r>
      <w:r w:rsidRPr="00B16BF9">
        <w:rPr>
          <w:color w:val="231F20"/>
          <w:sz w:val="24"/>
        </w:rPr>
        <w:t xml:space="preserve"> the loss of load hours translates into 2.4 hours in 1 year. However, we know intuitively that 2.4 hours during peak demand in the evening</w:t>
      </w:r>
      <w:r w:rsidR="00677EBB">
        <w:rPr>
          <w:color w:val="231F20"/>
          <w:sz w:val="24"/>
        </w:rPr>
        <w:t xml:space="preserve"> in </w:t>
      </w:r>
      <w:r w:rsidR="00F27829">
        <w:rPr>
          <w:color w:val="231F20"/>
          <w:sz w:val="24"/>
        </w:rPr>
        <w:t xml:space="preserve">the </w:t>
      </w:r>
      <w:r w:rsidR="00677EBB">
        <w:rPr>
          <w:color w:val="231F20"/>
          <w:sz w:val="24"/>
        </w:rPr>
        <w:t>summer season</w:t>
      </w:r>
      <w:r w:rsidRPr="00B16BF9">
        <w:rPr>
          <w:color w:val="231F20"/>
          <w:sz w:val="24"/>
        </w:rPr>
        <w:t xml:space="preserve"> is much more disruptive to customers th</w:t>
      </w:r>
      <w:r w:rsidR="00F27829">
        <w:rPr>
          <w:color w:val="231F20"/>
          <w:sz w:val="24"/>
        </w:rPr>
        <w:t>a</w:t>
      </w:r>
      <w:r w:rsidRPr="00B16BF9">
        <w:rPr>
          <w:color w:val="231F20"/>
          <w:sz w:val="24"/>
        </w:rPr>
        <w:t xml:space="preserve">n 2.4 hours after midnight. Hence </w:t>
      </w:r>
      <w:r w:rsidR="00F27829">
        <w:rPr>
          <w:color w:val="231F20"/>
          <w:sz w:val="24"/>
        </w:rPr>
        <w:t xml:space="preserve">the </w:t>
      </w:r>
      <w:r w:rsidRPr="00B16BF9">
        <w:rPr>
          <w:color w:val="231F20"/>
          <w:sz w:val="24"/>
        </w:rPr>
        <w:t xml:space="preserve">loss of load hours as a metric loses its value unless we look at the time period in which those hours are lost. </w:t>
      </w:r>
    </w:p>
    <w:p w14:paraId="35E5E3DF" w14:textId="3DB2DEC3" w:rsidR="00082B2D" w:rsidRPr="00B16BF9" w:rsidRDefault="00677EBB" w:rsidP="00B16BF9">
      <w:pPr>
        <w:tabs>
          <w:tab w:val="left" w:pos="820"/>
          <w:tab w:val="left" w:pos="822"/>
        </w:tabs>
        <w:spacing w:before="157" w:line="259" w:lineRule="auto"/>
        <w:ind w:left="100" w:right="141"/>
        <w:rPr>
          <w:sz w:val="24"/>
        </w:rPr>
      </w:pPr>
      <w:r w:rsidRPr="00B16BF9">
        <w:rPr>
          <w:color w:val="231F20"/>
          <w:sz w:val="24"/>
        </w:rPr>
        <w:t>Finally,</w:t>
      </w:r>
      <w:r w:rsidR="006F7D18" w:rsidRPr="00B16BF9">
        <w:rPr>
          <w:color w:val="231F20"/>
          <w:sz w:val="24"/>
        </w:rPr>
        <w:t xml:space="preserve"> the metric of expected unserved energy is th</w:t>
      </w:r>
      <w:r>
        <w:rPr>
          <w:color w:val="231F20"/>
          <w:sz w:val="24"/>
        </w:rPr>
        <w:t xml:space="preserve">e </w:t>
      </w:r>
      <w:r w:rsidR="006F7D18" w:rsidRPr="00B16BF9">
        <w:rPr>
          <w:color w:val="231F20"/>
          <w:sz w:val="24"/>
        </w:rPr>
        <w:t>result of the models that spit</w:t>
      </w:r>
      <w:r>
        <w:rPr>
          <w:color w:val="231F20"/>
          <w:sz w:val="24"/>
        </w:rPr>
        <w:t xml:space="preserve"> </w:t>
      </w:r>
      <w:r w:rsidR="006F7D18" w:rsidRPr="00B16BF9">
        <w:rPr>
          <w:color w:val="231F20"/>
          <w:sz w:val="24"/>
        </w:rPr>
        <w:t xml:space="preserve">out the loss of load expectation and loss of load </w:t>
      </w:r>
      <w:r>
        <w:rPr>
          <w:color w:val="231F20"/>
          <w:sz w:val="24"/>
        </w:rPr>
        <w:t xml:space="preserve">hour </w:t>
      </w:r>
      <w:r w:rsidR="006F7D18" w:rsidRPr="00B16BF9">
        <w:rPr>
          <w:color w:val="231F20"/>
          <w:sz w:val="24"/>
        </w:rPr>
        <w:t>metrics. And expected unserved energy is valuable to understand how much energy is not met</w:t>
      </w:r>
      <w:r w:rsidR="00F27829">
        <w:rPr>
          <w:color w:val="231F20"/>
          <w:sz w:val="24"/>
        </w:rPr>
        <w:t>,</w:t>
      </w:r>
      <w:r w:rsidR="006F7D18" w:rsidRPr="00B16BF9">
        <w:rPr>
          <w:color w:val="231F20"/>
          <w:sz w:val="24"/>
        </w:rPr>
        <w:t xml:space="preserve"> </w:t>
      </w:r>
      <w:r w:rsidR="00F27829">
        <w:rPr>
          <w:color w:val="231F20"/>
          <w:sz w:val="24"/>
        </w:rPr>
        <w:t>which</w:t>
      </w:r>
      <w:r w:rsidR="006F7D18" w:rsidRPr="00B16BF9">
        <w:rPr>
          <w:color w:val="231F20"/>
          <w:sz w:val="24"/>
        </w:rPr>
        <w:t xml:space="preserve"> leads to an area not meeting its one day in 10 criteria. In other </w:t>
      </w:r>
      <w:r w:rsidRPr="00B16BF9">
        <w:rPr>
          <w:color w:val="231F20"/>
          <w:sz w:val="24"/>
        </w:rPr>
        <w:t>words,</w:t>
      </w:r>
      <w:r w:rsidR="006F7D18" w:rsidRPr="00B16BF9">
        <w:rPr>
          <w:color w:val="231F20"/>
          <w:sz w:val="24"/>
        </w:rPr>
        <w:t xml:space="preserve"> an expected unserved energy metric is valuable to provide the deficiency in capacity for an area to maintain its one day in 10 criteria. This EUE value is informational for resources that can provide capacity in an area that is deficient.</w:t>
      </w:r>
    </w:p>
    <w:p w14:paraId="4F63BDCC" w14:textId="1BD8236C" w:rsidR="00082B2D" w:rsidRPr="00D13401" w:rsidRDefault="00000000">
      <w:pPr>
        <w:pStyle w:val="ListParagraph"/>
        <w:numPr>
          <w:ilvl w:val="1"/>
          <w:numId w:val="1"/>
        </w:numPr>
        <w:tabs>
          <w:tab w:val="left" w:pos="821"/>
          <w:tab w:val="left" w:pos="822"/>
        </w:tabs>
        <w:spacing w:line="259" w:lineRule="auto"/>
        <w:ind w:right="422" w:hanging="720"/>
        <w:rPr>
          <w:b/>
          <w:bCs/>
          <w:sz w:val="24"/>
        </w:rPr>
      </w:pPr>
      <w:r w:rsidRPr="0017533D">
        <w:rPr>
          <w:b/>
          <w:bCs/>
          <w:color w:val="231F20"/>
          <w:sz w:val="24"/>
        </w:rPr>
        <w:t>Which</w:t>
      </w:r>
      <w:r w:rsidRPr="0017533D">
        <w:rPr>
          <w:b/>
          <w:bCs/>
          <w:color w:val="231F20"/>
          <w:spacing w:val="-4"/>
          <w:sz w:val="24"/>
        </w:rPr>
        <w:t xml:space="preserve"> </w:t>
      </w:r>
      <w:r w:rsidRPr="0017533D">
        <w:rPr>
          <w:b/>
          <w:bCs/>
          <w:color w:val="231F20"/>
          <w:sz w:val="24"/>
        </w:rPr>
        <w:t>reliability</w:t>
      </w:r>
      <w:r w:rsidRPr="0017533D">
        <w:rPr>
          <w:b/>
          <w:bCs/>
          <w:color w:val="231F20"/>
          <w:spacing w:val="-4"/>
          <w:sz w:val="24"/>
        </w:rPr>
        <w:t xml:space="preserve"> </w:t>
      </w:r>
      <w:r w:rsidRPr="0017533D">
        <w:rPr>
          <w:b/>
          <w:bCs/>
          <w:color w:val="231F20"/>
          <w:sz w:val="24"/>
        </w:rPr>
        <w:t>metric,</w:t>
      </w:r>
      <w:r w:rsidRPr="0017533D">
        <w:rPr>
          <w:b/>
          <w:bCs/>
          <w:color w:val="231F20"/>
          <w:spacing w:val="-2"/>
          <w:sz w:val="24"/>
        </w:rPr>
        <w:t xml:space="preserve"> </w:t>
      </w:r>
      <w:r w:rsidRPr="0017533D">
        <w:rPr>
          <w:b/>
          <w:bCs/>
          <w:color w:val="231F20"/>
          <w:sz w:val="24"/>
        </w:rPr>
        <w:t>or</w:t>
      </w:r>
      <w:r w:rsidRPr="0017533D">
        <w:rPr>
          <w:b/>
          <w:bCs/>
          <w:color w:val="231F20"/>
          <w:spacing w:val="-4"/>
          <w:sz w:val="24"/>
        </w:rPr>
        <w:t xml:space="preserve"> </w:t>
      </w:r>
      <w:r w:rsidRPr="0017533D">
        <w:rPr>
          <w:b/>
          <w:bCs/>
          <w:color w:val="231F20"/>
          <w:sz w:val="24"/>
        </w:rPr>
        <w:t>combination</w:t>
      </w:r>
      <w:r w:rsidRPr="0017533D">
        <w:rPr>
          <w:b/>
          <w:bCs/>
          <w:color w:val="231F20"/>
          <w:spacing w:val="-4"/>
          <w:sz w:val="24"/>
        </w:rPr>
        <w:t xml:space="preserve"> </w:t>
      </w:r>
      <w:r w:rsidRPr="0017533D">
        <w:rPr>
          <w:b/>
          <w:bCs/>
          <w:color w:val="231F20"/>
          <w:sz w:val="24"/>
        </w:rPr>
        <w:t>of</w:t>
      </w:r>
      <w:r w:rsidRPr="0017533D">
        <w:rPr>
          <w:b/>
          <w:bCs/>
          <w:color w:val="231F20"/>
          <w:spacing w:val="-7"/>
          <w:sz w:val="24"/>
        </w:rPr>
        <w:t xml:space="preserve"> </w:t>
      </w:r>
      <w:r w:rsidRPr="0017533D">
        <w:rPr>
          <w:b/>
          <w:bCs/>
          <w:color w:val="231F20"/>
          <w:sz w:val="24"/>
        </w:rPr>
        <w:t>reliability</w:t>
      </w:r>
      <w:r w:rsidRPr="0017533D">
        <w:rPr>
          <w:b/>
          <w:bCs/>
          <w:color w:val="231F20"/>
          <w:spacing w:val="-4"/>
          <w:sz w:val="24"/>
        </w:rPr>
        <w:t xml:space="preserve"> </w:t>
      </w:r>
      <w:r w:rsidRPr="0017533D">
        <w:rPr>
          <w:b/>
          <w:bCs/>
          <w:color w:val="231F20"/>
          <w:sz w:val="24"/>
        </w:rPr>
        <w:t>metrics,</w:t>
      </w:r>
      <w:r w:rsidRPr="0017533D">
        <w:rPr>
          <w:b/>
          <w:bCs/>
          <w:color w:val="231F20"/>
          <w:spacing w:val="-2"/>
          <w:sz w:val="24"/>
        </w:rPr>
        <w:t xml:space="preserve"> </w:t>
      </w:r>
      <w:r w:rsidRPr="0017533D">
        <w:rPr>
          <w:b/>
          <w:bCs/>
          <w:color w:val="231F20"/>
          <w:sz w:val="24"/>
        </w:rPr>
        <w:t>should</w:t>
      </w:r>
      <w:r w:rsidRPr="0017533D">
        <w:rPr>
          <w:b/>
          <w:bCs/>
          <w:color w:val="231F20"/>
          <w:spacing w:val="-5"/>
          <w:sz w:val="24"/>
        </w:rPr>
        <w:t xml:space="preserve"> </w:t>
      </w:r>
      <w:r w:rsidRPr="0017533D">
        <w:rPr>
          <w:b/>
          <w:bCs/>
          <w:color w:val="231F20"/>
          <w:sz w:val="24"/>
        </w:rPr>
        <w:t>the</w:t>
      </w:r>
      <w:r w:rsidRPr="0017533D">
        <w:rPr>
          <w:b/>
          <w:bCs/>
          <w:color w:val="231F20"/>
          <w:spacing w:val="-4"/>
          <w:sz w:val="24"/>
        </w:rPr>
        <w:t xml:space="preserve"> </w:t>
      </w:r>
      <w:r w:rsidRPr="0017533D">
        <w:rPr>
          <w:b/>
          <w:bCs/>
          <w:color w:val="231F20"/>
          <w:sz w:val="24"/>
        </w:rPr>
        <w:t>Commission adopt for the reliability standard in ERCOT?</w:t>
      </w:r>
    </w:p>
    <w:p w14:paraId="639DFE26" w14:textId="77777777" w:rsidR="00D13401" w:rsidRDefault="00D13401" w:rsidP="00D13401">
      <w:pPr>
        <w:tabs>
          <w:tab w:val="left" w:pos="821"/>
          <w:tab w:val="left" w:pos="822"/>
        </w:tabs>
        <w:spacing w:line="259" w:lineRule="auto"/>
        <w:ind w:left="100" w:right="422"/>
        <w:rPr>
          <w:b/>
          <w:bCs/>
          <w:sz w:val="24"/>
        </w:rPr>
      </w:pPr>
    </w:p>
    <w:p w14:paraId="4DD3B489" w14:textId="3E732D4F" w:rsidR="00D13401" w:rsidRPr="00D13401" w:rsidRDefault="00D13401" w:rsidP="00D13401">
      <w:pPr>
        <w:tabs>
          <w:tab w:val="left" w:pos="821"/>
          <w:tab w:val="left" w:pos="822"/>
        </w:tabs>
        <w:spacing w:line="259" w:lineRule="auto"/>
        <w:ind w:left="100" w:right="422"/>
        <w:rPr>
          <w:sz w:val="24"/>
        </w:rPr>
      </w:pPr>
      <w:r w:rsidRPr="00D13401">
        <w:rPr>
          <w:sz w:val="24"/>
        </w:rPr>
        <w:t xml:space="preserve">Rakon Energy takes no position on this question at this time. </w:t>
      </w:r>
    </w:p>
    <w:p w14:paraId="40752881" w14:textId="00F0BE47" w:rsidR="00082B2D" w:rsidRPr="00D13401" w:rsidRDefault="00000000">
      <w:pPr>
        <w:pStyle w:val="ListParagraph"/>
        <w:numPr>
          <w:ilvl w:val="1"/>
          <w:numId w:val="1"/>
        </w:numPr>
        <w:tabs>
          <w:tab w:val="left" w:pos="820"/>
          <w:tab w:val="left" w:pos="821"/>
        </w:tabs>
        <w:spacing w:line="259" w:lineRule="auto"/>
        <w:ind w:right="1417" w:hanging="720"/>
        <w:rPr>
          <w:b/>
          <w:bCs/>
          <w:sz w:val="24"/>
        </w:rPr>
      </w:pPr>
      <w:r w:rsidRPr="0017533D">
        <w:rPr>
          <w:b/>
          <w:bCs/>
          <w:color w:val="231F20"/>
          <w:sz w:val="24"/>
        </w:rPr>
        <w:t>What</w:t>
      </w:r>
      <w:r w:rsidRPr="0017533D">
        <w:rPr>
          <w:b/>
          <w:bCs/>
          <w:color w:val="231F20"/>
          <w:spacing w:val="-4"/>
          <w:sz w:val="24"/>
        </w:rPr>
        <w:t xml:space="preserve"> </w:t>
      </w:r>
      <w:r w:rsidRPr="0017533D">
        <w:rPr>
          <w:b/>
          <w:bCs/>
          <w:color w:val="231F20"/>
          <w:sz w:val="24"/>
        </w:rPr>
        <w:t>are</w:t>
      </w:r>
      <w:r w:rsidRPr="0017533D">
        <w:rPr>
          <w:b/>
          <w:bCs/>
          <w:color w:val="231F20"/>
          <w:spacing w:val="-4"/>
          <w:sz w:val="24"/>
        </w:rPr>
        <w:t xml:space="preserve"> </w:t>
      </w:r>
      <w:r w:rsidRPr="0017533D">
        <w:rPr>
          <w:b/>
          <w:bCs/>
          <w:color w:val="231F20"/>
          <w:sz w:val="24"/>
        </w:rPr>
        <w:t>the</w:t>
      </w:r>
      <w:r w:rsidRPr="0017533D">
        <w:rPr>
          <w:b/>
          <w:bCs/>
          <w:color w:val="231F20"/>
          <w:spacing w:val="-4"/>
          <w:sz w:val="24"/>
        </w:rPr>
        <w:t xml:space="preserve"> </w:t>
      </w:r>
      <w:r w:rsidRPr="0017533D">
        <w:rPr>
          <w:b/>
          <w:bCs/>
          <w:color w:val="231F20"/>
          <w:sz w:val="24"/>
        </w:rPr>
        <w:t>advantages</w:t>
      </w:r>
      <w:r w:rsidRPr="0017533D">
        <w:rPr>
          <w:b/>
          <w:bCs/>
          <w:color w:val="231F20"/>
          <w:spacing w:val="-1"/>
          <w:sz w:val="24"/>
        </w:rPr>
        <w:t xml:space="preserve"> </w:t>
      </w:r>
      <w:r w:rsidRPr="0017533D">
        <w:rPr>
          <w:b/>
          <w:bCs/>
          <w:color w:val="231F20"/>
          <w:sz w:val="24"/>
        </w:rPr>
        <w:t>of</w:t>
      </w:r>
      <w:r w:rsidRPr="0017533D">
        <w:rPr>
          <w:b/>
          <w:bCs/>
          <w:color w:val="231F20"/>
          <w:spacing w:val="-4"/>
          <w:sz w:val="24"/>
        </w:rPr>
        <w:t xml:space="preserve"> </w:t>
      </w:r>
      <w:r w:rsidRPr="0017533D">
        <w:rPr>
          <w:b/>
          <w:bCs/>
          <w:color w:val="231F20"/>
          <w:sz w:val="24"/>
        </w:rPr>
        <w:t>your</w:t>
      </w:r>
      <w:r w:rsidRPr="0017533D">
        <w:rPr>
          <w:b/>
          <w:bCs/>
          <w:color w:val="231F20"/>
          <w:spacing w:val="-4"/>
          <w:sz w:val="24"/>
        </w:rPr>
        <w:t xml:space="preserve"> </w:t>
      </w:r>
      <w:r w:rsidRPr="0017533D">
        <w:rPr>
          <w:b/>
          <w:bCs/>
          <w:color w:val="231F20"/>
          <w:sz w:val="24"/>
        </w:rPr>
        <w:t>chosen</w:t>
      </w:r>
      <w:r w:rsidRPr="0017533D">
        <w:rPr>
          <w:b/>
          <w:bCs/>
          <w:color w:val="231F20"/>
          <w:spacing w:val="-1"/>
          <w:sz w:val="24"/>
        </w:rPr>
        <w:t xml:space="preserve"> </w:t>
      </w:r>
      <w:r w:rsidRPr="0017533D">
        <w:rPr>
          <w:b/>
          <w:bCs/>
          <w:color w:val="231F20"/>
          <w:sz w:val="24"/>
        </w:rPr>
        <w:t>reliability</w:t>
      </w:r>
      <w:r w:rsidRPr="0017533D">
        <w:rPr>
          <w:b/>
          <w:bCs/>
          <w:color w:val="231F20"/>
          <w:spacing w:val="-4"/>
          <w:sz w:val="24"/>
        </w:rPr>
        <w:t xml:space="preserve"> </w:t>
      </w:r>
      <w:r w:rsidRPr="0017533D">
        <w:rPr>
          <w:b/>
          <w:bCs/>
          <w:color w:val="231F20"/>
          <w:sz w:val="24"/>
        </w:rPr>
        <w:t>metrics,</w:t>
      </w:r>
      <w:r w:rsidRPr="0017533D">
        <w:rPr>
          <w:b/>
          <w:bCs/>
          <w:color w:val="231F20"/>
          <w:spacing w:val="-4"/>
          <w:sz w:val="24"/>
        </w:rPr>
        <w:t xml:space="preserve"> </w:t>
      </w:r>
      <w:r w:rsidRPr="0017533D">
        <w:rPr>
          <w:b/>
          <w:bCs/>
          <w:color w:val="231F20"/>
          <w:sz w:val="24"/>
        </w:rPr>
        <w:t>and</w:t>
      </w:r>
      <w:r w:rsidRPr="0017533D">
        <w:rPr>
          <w:b/>
          <w:bCs/>
          <w:color w:val="231F20"/>
          <w:spacing w:val="-4"/>
          <w:sz w:val="24"/>
        </w:rPr>
        <w:t xml:space="preserve"> </w:t>
      </w:r>
      <w:r w:rsidRPr="0017533D">
        <w:rPr>
          <w:b/>
          <w:bCs/>
          <w:color w:val="231F20"/>
          <w:sz w:val="24"/>
        </w:rPr>
        <w:t>what</w:t>
      </w:r>
      <w:r w:rsidRPr="0017533D">
        <w:rPr>
          <w:b/>
          <w:bCs/>
          <w:color w:val="231F20"/>
          <w:spacing w:val="-1"/>
          <w:sz w:val="24"/>
        </w:rPr>
        <w:t xml:space="preserve"> </w:t>
      </w:r>
      <w:r w:rsidRPr="0017533D">
        <w:rPr>
          <w:b/>
          <w:bCs/>
          <w:color w:val="231F20"/>
          <w:sz w:val="24"/>
        </w:rPr>
        <w:t>are</w:t>
      </w:r>
      <w:r w:rsidRPr="0017533D">
        <w:rPr>
          <w:b/>
          <w:bCs/>
          <w:color w:val="231F20"/>
          <w:spacing w:val="-5"/>
          <w:sz w:val="24"/>
        </w:rPr>
        <w:t xml:space="preserve"> </w:t>
      </w:r>
      <w:r w:rsidRPr="0017533D">
        <w:rPr>
          <w:b/>
          <w:bCs/>
          <w:color w:val="231F20"/>
          <w:sz w:val="24"/>
        </w:rPr>
        <w:t>the disadvantages of alternative approaches?</w:t>
      </w:r>
    </w:p>
    <w:p w14:paraId="2EC067FC" w14:textId="33471D26" w:rsidR="00D13401" w:rsidRDefault="00D13401" w:rsidP="00D13401">
      <w:pPr>
        <w:tabs>
          <w:tab w:val="left" w:pos="820"/>
          <w:tab w:val="left" w:pos="821"/>
        </w:tabs>
        <w:spacing w:line="259" w:lineRule="auto"/>
        <w:ind w:left="100" w:right="1417"/>
        <w:rPr>
          <w:b/>
          <w:bCs/>
          <w:sz w:val="24"/>
        </w:rPr>
      </w:pPr>
    </w:p>
    <w:p w14:paraId="163061B9" w14:textId="77777777" w:rsidR="00D13401" w:rsidRPr="00D13401" w:rsidRDefault="00D13401" w:rsidP="00D13401">
      <w:pPr>
        <w:tabs>
          <w:tab w:val="left" w:pos="821"/>
          <w:tab w:val="left" w:pos="822"/>
        </w:tabs>
        <w:spacing w:line="259" w:lineRule="auto"/>
        <w:ind w:left="100" w:right="422"/>
        <w:rPr>
          <w:sz w:val="24"/>
        </w:rPr>
      </w:pPr>
      <w:r w:rsidRPr="00D13401">
        <w:rPr>
          <w:sz w:val="24"/>
        </w:rPr>
        <w:lastRenderedPageBreak/>
        <w:t xml:space="preserve">Rakon Energy takes no position on this question at this time. </w:t>
      </w:r>
    </w:p>
    <w:p w14:paraId="4A360A27" w14:textId="77777777" w:rsidR="00D13401" w:rsidRPr="00D13401" w:rsidRDefault="00D13401" w:rsidP="00D13401">
      <w:pPr>
        <w:tabs>
          <w:tab w:val="left" w:pos="820"/>
          <w:tab w:val="left" w:pos="821"/>
        </w:tabs>
        <w:spacing w:line="259" w:lineRule="auto"/>
        <w:ind w:left="100" w:right="1417"/>
        <w:rPr>
          <w:b/>
          <w:bCs/>
          <w:sz w:val="24"/>
        </w:rPr>
      </w:pPr>
    </w:p>
    <w:p w14:paraId="4D5476C5" w14:textId="77777777" w:rsidR="0017533D" w:rsidRPr="00A7710B" w:rsidRDefault="00000000">
      <w:pPr>
        <w:pStyle w:val="ListParagraph"/>
        <w:numPr>
          <w:ilvl w:val="0"/>
          <w:numId w:val="1"/>
        </w:numPr>
        <w:tabs>
          <w:tab w:val="left" w:pos="440"/>
        </w:tabs>
        <w:spacing w:line="259" w:lineRule="auto"/>
        <w:ind w:right="970" w:hanging="360"/>
        <w:rPr>
          <w:b/>
          <w:bCs/>
          <w:sz w:val="24"/>
        </w:rPr>
      </w:pPr>
      <w:r w:rsidRPr="00A7710B">
        <w:rPr>
          <w:b/>
          <w:bCs/>
          <w:color w:val="231F20"/>
          <w:sz w:val="24"/>
        </w:rPr>
        <w:t>What</w:t>
      </w:r>
      <w:r w:rsidRPr="00A7710B">
        <w:rPr>
          <w:b/>
          <w:bCs/>
          <w:color w:val="231F20"/>
          <w:spacing w:val="-4"/>
          <w:sz w:val="24"/>
        </w:rPr>
        <w:t xml:space="preserve"> </w:t>
      </w:r>
      <w:r w:rsidRPr="00A7710B">
        <w:rPr>
          <w:b/>
          <w:bCs/>
          <w:color w:val="231F20"/>
          <w:sz w:val="24"/>
        </w:rPr>
        <w:t>is</w:t>
      </w:r>
      <w:r w:rsidRPr="00A7710B">
        <w:rPr>
          <w:b/>
          <w:bCs/>
          <w:color w:val="231F20"/>
          <w:spacing w:val="-4"/>
          <w:sz w:val="24"/>
        </w:rPr>
        <w:t xml:space="preserve"> </w:t>
      </w:r>
      <w:r w:rsidRPr="00A7710B">
        <w:rPr>
          <w:b/>
          <w:bCs/>
          <w:color w:val="231F20"/>
          <w:sz w:val="24"/>
        </w:rPr>
        <w:t>the</w:t>
      </w:r>
      <w:r w:rsidRPr="00A7710B">
        <w:rPr>
          <w:b/>
          <w:bCs/>
          <w:color w:val="231F20"/>
          <w:spacing w:val="-4"/>
          <w:sz w:val="24"/>
        </w:rPr>
        <w:t xml:space="preserve"> </w:t>
      </w:r>
      <w:r w:rsidRPr="00A7710B">
        <w:rPr>
          <w:b/>
          <w:bCs/>
          <w:color w:val="231F20"/>
          <w:sz w:val="24"/>
        </w:rPr>
        <w:t>most</w:t>
      </w:r>
      <w:r w:rsidRPr="00A7710B">
        <w:rPr>
          <w:b/>
          <w:bCs/>
          <w:color w:val="231F20"/>
          <w:spacing w:val="-4"/>
          <w:sz w:val="24"/>
        </w:rPr>
        <w:t xml:space="preserve"> </w:t>
      </w:r>
      <w:r w:rsidRPr="00A7710B">
        <w:rPr>
          <w:b/>
          <w:bCs/>
          <w:color w:val="231F20"/>
          <w:sz w:val="24"/>
        </w:rPr>
        <w:t>effective</w:t>
      </w:r>
      <w:r w:rsidRPr="00A7710B">
        <w:rPr>
          <w:b/>
          <w:bCs/>
          <w:color w:val="231F20"/>
          <w:spacing w:val="-4"/>
          <w:sz w:val="24"/>
        </w:rPr>
        <w:t xml:space="preserve"> </w:t>
      </w:r>
      <w:r w:rsidRPr="00A7710B">
        <w:rPr>
          <w:b/>
          <w:bCs/>
          <w:color w:val="231F20"/>
          <w:sz w:val="24"/>
        </w:rPr>
        <w:t>way</w:t>
      </w:r>
      <w:r w:rsidRPr="00A7710B">
        <w:rPr>
          <w:b/>
          <w:bCs/>
          <w:color w:val="231F20"/>
          <w:spacing w:val="-4"/>
          <w:sz w:val="24"/>
        </w:rPr>
        <w:t xml:space="preserve"> </w:t>
      </w:r>
      <w:r w:rsidRPr="00A7710B">
        <w:rPr>
          <w:b/>
          <w:bCs/>
          <w:color w:val="231F20"/>
          <w:sz w:val="24"/>
        </w:rPr>
        <w:t>that</w:t>
      </w:r>
      <w:r w:rsidRPr="00A7710B">
        <w:rPr>
          <w:b/>
          <w:bCs/>
          <w:color w:val="231F20"/>
          <w:spacing w:val="-4"/>
          <w:sz w:val="24"/>
        </w:rPr>
        <w:t xml:space="preserve"> </w:t>
      </w:r>
      <w:r w:rsidRPr="00A7710B">
        <w:rPr>
          <w:b/>
          <w:bCs/>
          <w:color w:val="231F20"/>
          <w:sz w:val="24"/>
        </w:rPr>
        <w:t>the</w:t>
      </w:r>
      <w:r w:rsidRPr="00A7710B">
        <w:rPr>
          <w:b/>
          <w:bCs/>
          <w:color w:val="231F20"/>
          <w:spacing w:val="-4"/>
          <w:sz w:val="24"/>
        </w:rPr>
        <w:t xml:space="preserve"> </w:t>
      </w:r>
      <w:r w:rsidRPr="00A7710B">
        <w:rPr>
          <w:b/>
          <w:bCs/>
          <w:color w:val="231F20"/>
          <w:sz w:val="24"/>
        </w:rPr>
        <w:t>Commission</w:t>
      </w:r>
      <w:r w:rsidRPr="00A7710B">
        <w:rPr>
          <w:b/>
          <w:bCs/>
          <w:color w:val="231F20"/>
          <w:spacing w:val="-3"/>
          <w:sz w:val="24"/>
        </w:rPr>
        <w:t xml:space="preserve"> </w:t>
      </w:r>
      <w:r w:rsidRPr="00A7710B">
        <w:rPr>
          <w:b/>
          <w:bCs/>
          <w:color w:val="231F20"/>
          <w:sz w:val="24"/>
        </w:rPr>
        <w:t>can</w:t>
      </w:r>
      <w:r w:rsidRPr="00A7710B">
        <w:rPr>
          <w:b/>
          <w:bCs/>
          <w:color w:val="231F20"/>
          <w:spacing w:val="-3"/>
          <w:sz w:val="24"/>
        </w:rPr>
        <w:t xml:space="preserve"> </w:t>
      </w:r>
      <w:r w:rsidRPr="00A7710B">
        <w:rPr>
          <w:b/>
          <w:bCs/>
          <w:color w:val="231F20"/>
          <w:sz w:val="24"/>
        </w:rPr>
        <w:t>include</w:t>
      </w:r>
      <w:r w:rsidRPr="00A7710B">
        <w:rPr>
          <w:b/>
          <w:bCs/>
          <w:color w:val="231F20"/>
          <w:spacing w:val="-3"/>
          <w:sz w:val="24"/>
        </w:rPr>
        <w:t xml:space="preserve"> </w:t>
      </w:r>
      <w:r w:rsidRPr="00A7710B">
        <w:rPr>
          <w:b/>
          <w:bCs/>
          <w:color w:val="231F20"/>
          <w:sz w:val="24"/>
        </w:rPr>
        <w:t>deliverability in</w:t>
      </w:r>
      <w:r w:rsidRPr="00A7710B">
        <w:rPr>
          <w:b/>
          <w:bCs/>
          <w:color w:val="231F20"/>
          <w:spacing w:val="-3"/>
          <w:sz w:val="24"/>
        </w:rPr>
        <w:t xml:space="preserve"> </w:t>
      </w:r>
      <w:r w:rsidRPr="00A7710B">
        <w:rPr>
          <w:b/>
          <w:bCs/>
          <w:color w:val="231F20"/>
          <w:sz w:val="24"/>
        </w:rPr>
        <w:t>the reliability standard?</w:t>
      </w:r>
      <w:r w:rsidR="0017533D" w:rsidRPr="00A7710B">
        <w:rPr>
          <w:b/>
          <w:bCs/>
          <w:color w:val="231F20"/>
          <w:sz w:val="24"/>
        </w:rPr>
        <w:t xml:space="preserve"> </w:t>
      </w:r>
    </w:p>
    <w:p w14:paraId="19D50D58" w14:textId="77777777" w:rsidR="00A7710B" w:rsidRDefault="00A7710B" w:rsidP="00A7710B">
      <w:pPr>
        <w:tabs>
          <w:tab w:val="left" w:pos="440"/>
        </w:tabs>
        <w:spacing w:line="259" w:lineRule="auto"/>
        <w:ind w:left="100" w:right="970"/>
        <w:rPr>
          <w:color w:val="231F20"/>
          <w:sz w:val="24"/>
        </w:rPr>
      </w:pPr>
    </w:p>
    <w:p w14:paraId="699FBE31" w14:textId="4357C960" w:rsidR="00082B2D" w:rsidRPr="007A5921" w:rsidRDefault="0017533D" w:rsidP="007A5921">
      <w:pPr>
        <w:tabs>
          <w:tab w:val="left" w:pos="820"/>
          <w:tab w:val="left" w:pos="822"/>
        </w:tabs>
        <w:spacing w:before="183"/>
        <w:ind w:left="99"/>
        <w:rPr>
          <w:color w:val="231F20"/>
          <w:spacing w:val="-2"/>
          <w:sz w:val="24"/>
        </w:rPr>
      </w:pPr>
      <w:r w:rsidRPr="007A5921">
        <w:rPr>
          <w:color w:val="231F20"/>
          <w:spacing w:val="-2"/>
          <w:sz w:val="24"/>
        </w:rPr>
        <w:t xml:space="preserve">The loss of load expectation analysis is essentially called load deliverability. To understand the concept </w:t>
      </w:r>
      <w:r w:rsidR="00F27829">
        <w:rPr>
          <w:color w:val="231F20"/>
          <w:spacing w:val="-2"/>
          <w:sz w:val="24"/>
        </w:rPr>
        <w:t>of</w:t>
      </w:r>
      <w:r w:rsidRPr="007A5921">
        <w:rPr>
          <w:color w:val="231F20"/>
          <w:spacing w:val="-2"/>
          <w:sz w:val="24"/>
        </w:rPr>
        <w:t xml:space="preserve"> deliverability in a reliability standard</w:t>
      </w:r>
      <w:r w:rsidR="00F27829">
        <w:rPr>
          <w:color w:val="231F20"/>
          <w:spacing w:val="-2"/>
          <w:sz w:val="24"/>
        </w:rPr>
        <w:t>,</w:t>
      </w:r>
      <w:r w:rsidRPr="007A5921">
        <w:rPr>
          <w:color w:val="231F20"/>
          <w:spacing w:val="-2"/>
          <w:sz w:val="24"/>
        </w:rPr>
        <w:t xml:space="preserve"> it is essential to go back to the reason why we have LOLE. LOLE analysis </w:t>
      </w:r>
      <w:r w:rsidR="00F27829">
        <w:rPr>
          <w:color w:val="231F20"/>
          <w:spacing w:val="-2"/>
          <w:sz w:val="24"/>
        </w:rPr>
        <w:t>shows</w:t>
      </w:r>
      <w:r w:rsidRPr="007A5921">
        <w:rPr>
          <w:color w:val="231F20"/>
          <w:spacing w:val="-2"/>
          <w:sz w:val="24"/>
        </w:rPr>
        <w:t xml:space="preserve"> how much an interconnecting area </w:t>
      </w:r>
      <w:r w:rsidR="00F27829">
        <w:rPr>
          <w:color w:val="231F20"/>
          <w:spacing w:val="-2"/>
          <w:sz w:val="24"/>
        </w:rPr>
        <w:t>supports</w:t>
      </w:r>
      <w:r w:rsidRPr="007A5921">
        <w:rPr>
          <w:color w:val="231F20"/>
          <w:spacing w:val="-2"/>
          <w:sz w:val="24"/>
        </w:rPr>
        <w:t xml:space="preserve"> an area of interest. Once an area </w:t>
      </w:r>
      <w:r w:rsidR="00F27829">
        <w:rPr>
          <w:color w:val="231F20"/>
          <w:spacing w:val="-2"/>
          <w:sz w:val="24"/>
        </w:rPr>
        <w:t>depends upon transmission support to receive capacity</w:t>
      </w:r>
      <w:r w:rsidRPr="007A5921">
        <w:rPr>
          <w:color w:val="231F20"/>
          <w:spacing w:val="-2"/>
          <w:sz w:val="24"/>
        </w:rPr>
        <w:t xml:space="preserve"> located in an external area, t</w:t>
      </w:r>
      <w:r w:rsidR="00F27829">
        <w:rPr>
          <w:color w:val="231F20"/>
          <w:spacing w:val="-2"/>
          <w:sz w:val="24"/>
        </w:rPr>
        <w:t>wo questions</w:t>
      </w:r>
      <w:r w:rsidRPr="007A5921">
        <w:rPr>
          <w:color w:val="231F20"/>
          <w:spacing w:val="-2"/>
          <w:sz w:val="24"/>
        </w:rPr>
        <w:t xml:space="preserve"> need to be addressed. First, is the transmission </w:t>
      </w:r>
      <w:r w:rsidR="00B16BF9" w:rsidRPr="007A5921">
        <w:rPr>
          <w:color w:val="231F20"/>
          <w:spacing w:val="-2"/>
          <w:sz w:val="24"/>
        </w:rPr>
        <w:t xml:space="preserve">system </w:t>
      </w:r>
      <w:r w:rsidRPr="007A5921">
        <w:rPr>
          <w:color w:val="231F20"/>
          <w:spacing w:val="-2"/>
          <w:sz w:val="24"/>
        </w:rPr>
        <w:t xml:space="preserve">reliable? Second, is the capacity that is behind the transmission </w:t>
      </w:r>
      <w:r w:rsidR="00B16BF9" w:rsidRPr="007A5921">
        <w:rPr>
          <w:color w:val="231F20"/>
          <w:spacing w:val="-2"/>
          <w:sz w:val="24"/>
        </w:rPr>
        <w:t xml:space="preserve">system </w:t>
      </w:r>
      <w:r w:rsidRPr="007A5921">
        <w:rPr>
          <w:color w:val="231F20"/>
          <w:spacing w:val="-2"/>
          <w:sz w:val="24"/>
        </w:rPr>
        <w:t>reliable</w:t>
      </w:r>
      <w:r w:rsidR="00A7710B" w:rsidRPr="007A5921">
        <w:rPr>
          <w:color w:val="231F20"/>
          <w:spacing w:val="-2"/>
          <w:sz w:val="24"/>
        </w:rPr>
        <w:t>?</w:t>
      </w:r>
      <w:r w:rsidRPr="007A5921">
        <w:rPr>
          <w:color w:val="231F20"/>
          <w:spacing w:val="-2"/>
          <w:sz w:val="24"/>
        </w:rPr>
        <w:t xml:space="preserve"> The concept </w:t>
      </w:r>
      <w:r w:rsidR="00F27829">
        <w:rPr>
          <w:color w:val="231F20"/>
          <w:spacing w:val="-2"/>
          <w:sz w:val="24"/>
        </w:rPr>
        <w:t>of</w:t>
      </w:r>
      <w:r w:rsidRPr="007A5921">
        <w:rPr>
          <w:color w:val="231F20"/>
          <w:spacing w:val="-2"/>
          <w:sz w:val="24"/>
        </w:rPr>
        <w:t xml:space="preserve"> deliverability in a reliability standard includes answers to both these questions. For example, if area A </w:t>
      </w:r>
      <w:r w:rsidR="00F27829">
        <w:rPr>
          <w:color w:val="231F20"/>
          <w:spacing w:val="-2"/>
          <w:sz w:val="24"/>
        </w:rPr>
        <w:t>depends upon external support from an area B through a transmission line that connects area A to area B, that external support is un</w:t>
      </w:r>
      <w:r w:rsidR="00B16BF9" w:rsidRPr="007A5921">
        <w:rPr>
          <w:color w:val="231F20"/>
          <w:spacing w:val="-2"/>
          <w:sz w:val="24"/>
        </w:rPr>
        <w:t>available</w:t>
      </w:r>
      <w:r w:rsidRPr="007A5921">
        <w:rPr>
          <w:color w:val="231F20"/>
          <w:spacing w:val="-2"/>
          <w:sz w:val="24"/>
        </w:rPr>
        <w:t xml:space="preserve"> if the transmission line goes down. Hence we need to model the outage statistics of transmission lines in this LOLE analysis. At the same time, external support is not </w:t>
      </w:r>
      <w:r w:rsidR="00B16BF9" w:rsidRPr="007A5921">
        <w:rPr>
          <w:color w:val="231F20"/>
          <w:spacing w:val="-2"/>
          <w:sz w:val="24"/>
        </w:rPr>
        <w:t>accessible</w:t>
      </w:r>
      <w:r w:rsidRPr="007A5921">
        <w:rPr>
          <w:color w:val="231F20"/>
          <w:spacing w:val="-2"/>
          <w:sz w:val="24"/>
        </w:rPr>
        <w:t xml:space="preserve"> if the transmission line is in</w:t>
      </w:r>
      <w:r w:rsidR="00B16BF9" w:rsidRPr="007A5921">
        <w:rPr>
          <w:color w:val="231F20"/>
          <w:spacing w:val="-2"/>
          <w:sz w:val="24"/>
        </w:rPr>
        <w:t>-</w:t>
      </w:r>
      <w:r w:rsidRPr="007A5921">
        <w:rPr>
          <w:color w:val="231F20"/>
          <w:spacing w:val="-2"/>
          <w:sz w:val="24"/>
        </w:rPr>
        <w:t>service</w:t>
      </w:r>
      <w:r w:rsidR="00F27829">
        <w:rPr>
          <w:color w:val="231F20"/>
          <w:spacing w:val="-2"/>
          <w:sz w:val="24"/>
        </w:rPr>
        <w:t>,</w:t>
      </w:r>
      <w:r w:rsidRPr="007A5921">
        <w:rPr>
          <w:color w:val="231F20"/>
          <w:spacing w:val="-2"/>
          <w:sz w:val="24"/>
        </w:rPr>
        <w:t xml:space="preserve"> yet the capacity behind the transmission line is unavailable. In this situation, not only is the forced outage rate of the capacity in the external area relevant to the LOLE analysis</w:t>
      </w:r>
      <w:r w:rsidR="00F27829">
        <w:rPr>
          <w:color w:val="231F20"/>
          <w:spacing w:val="-2"/>
          <w:sz w:val="24"/>
        </w:rPr>
        <w:t>,</w:t>
      </w:r>
      <w:r w:rsidRPr="007A5921">
        <w:rPr>
          <w:color w:val="231F20"/>
          <w:spacing w:val="-2"/>
          <w:sz w:val="24"/>
        </w:rPr>
        <w:t xml:space="preserve"> </w:t>
      </w:r>
      <w:r w:rsidR="00A7710B" w:rsidRPr="007A5921">
        <w:rPr>
          <w:color w:val="231F20"/>
          <w:spacing w:val="-2"/>
          <w:sz w:val="24"/>
        </w:rPr>
        <w:t>b</w:t>
      </w:r>
      <w:r w:rsidRPr="007A5921">
        <w:rPr>
          <w:color w:val="231F20"/>
          <w:spacing w:val="-2"/>
          <w:sz w:val="24"/>
        </w:rPr>
        <w:t xml:space="preserve">ut the correlation between the transmission line outage and the </w:t>
      </w:r>
      <w:r w:rsidR="00A7710B" w:rsidRPr="007A5921">
        <w:rPr>
          <w:color w:val="231F20"/>
          <w:spacing w:val="-2"/>
          <w:sz w:val="24"/>
        </w:rPr>
        <w:t>forced outage</w:t>
      </w:r>
      <w:r w:rsidRPr="007A5921">
        <w:rPr>
          <w:color w:val="231F20"/>
          <w:spacing w:val="-2"/>
          <w:sz w:val="24"/>
        </w:rPr>
        <w:t xml:space="preserve"> rate of the capacity in the external area needs to be factored in. That correlation is the most effective way for the Commission to include deliverability in this reliability standard discussion.</w:t>
      </w:r>
    </w:p>
    <w:p w14:paraId="30505C22" w14:textId="77777777" w:rsidR="00082B2D" w:rsidRPr="00B16BF9" w:rsidRDefault="00000000">
      <w:pPr>
        <w:pStyle w:val="ListParagraph"/>
        <w:numPr>
          <w:ilvl w:val="0"/>
          <w:numId w:val="1"/>
        </w:numPr>
        <w:tabs>
          <w:tab w:val="left" w:pos="441"/>
        </w:tabs>
        <w:ind w:left="440" w:hanging="341"/>
        <w:rPr>
          <w:b/>
          <w:bCs/>
          <w:sz w:val="24"/>
        </w:rPr>
      </w:pPr>
      <w:r w:rsidRPr="00B16BF9">
        <w:rPr>
          <w:b/>
          <w:bCs/>
          <w:color w:val="231F20"/>
          <w:sz w:val="24"/>
        </w:rPr>
        <w:t>Additional</w:t>
      </w:r>
      <w:r w:rsidRPr="00B16BF9">
        <w:rPr>
          <w:b/>
          <w:bCs/>
          <w:color w:val="231F20"/>
          <w:spacing w:val="-6"/>
          <w:sz w:val="24"/>
        </w:rPr>
        <w:t xml:space="preserve"> </w:t>
      </w:r>
      <w:r w:rsidRPr="00B16BF9">
        <w:rPr>
          <w:b/>
          <w:bCs/>
          <w:color w:val="231F20"/>
          <w:sz w:val="24"/>
        </w:rPr>
        <w:t>considerations</w:t>
      </w:r>
      <w:r w:rsidRPr="00B16BF9">
        <w:rPr>
          <w:b/>
          <w:bCs/>
          <w:color w:val="231F20"/>
          <w:spacing w:val="-2"/>
          <w:sz w:val="24"/>
        </w:rPr>
        <w:t xml:space="preserve"> </w:t>
      </w:r>
      <w:r w:rsidRPr="00B16BF9">
        <w:rPr>
          <w:b/>
          <w:bCs/>
          <w:color w:val="231F20"/>
          <w:sz w:val="24"/>
        </w:rPr>
        <w:t>in</w:t>
      </w:r>
      <w:r w:rsidRPr="00B16BF9">
        <w:rPr>
          <w:b/>
          <w:bCs/>
          <w:color w:val="231F20"/>
          <w:spacing w:val="-3"/>
          <w:sz w:val="24"/>
        </w:rPr>
        <w:t xml:space="preserve"> </w:t>
      </w:r>
      <w:r w:rsidRPr="00B16BF9">
        <w:rPr>
          <w:b/>
          <w:bCs/>
          <w:color w:val="231F20"/>
          <w:sz w:val="24"/>
        </w:rPr>
        <w:t>establishing</w:t>
      </w:r>
      <w:r w:rsidRPr="00B16BF9">
        <w:rPr>
          <w:b/>
          <w:bCs/>
          <w:color w:val="231F20"/>
          <w:spacing w:val="-2"/>
          <w:sz w:val="24"/>
        </w:rPr>
        <w:t xml:space="preserve"> </w:t>
      </w:r>
      <w:r w:rsidRPr="00B16BF9">
        <w:rPr>
          <w:b/>
          <w:bCs/>
          <w:color w:val="231F20"/>
          <w:sz w:val="24"/>
        </w:rPr>
        <w:t>the</w:t>
      </w:r>
      <w:r w:rsidRPr="00B16BF9">
        <w:rPr>
          <w:b/>
          <w:bCs/>
          <w:color w:val="231F20"/>
          <w:spacing w:val="-3"/>
          <w:sz w:val="24"/>
        </w:rPr>
        <w:t xml:space="preserve"> </w:t>
      </w:r>
      <w:r w:rsidRPr="00B16BF9">
        <w:rPr>
          <w:b/>
          <w:bCs/>
          <w:color w:val="231F20"/>
          <w:sz w:val="24"/>
        </w:rPr>
        <w:t>reliability</w:t>
      </w:r>
      <w:r w:rsidRPr="00B16BF9">
        <w:rPr>
          <w:b/>
          <w:bCs/>
          <w:color w:val="231F20"/>
          <w:spacing w:val="-3"/>
          <w:sz w:val="24"/>
        </w:rPr>
        <w:t xml:space="preserve"> </w:t>
      </w:r>
      <w:r w:rsidRPr="00B16BF9">
        <w:rPr>
          <w:b/>
          <w:bCs/>
          <w:color w:val="231F20"/>
          <w:sz w:val="24"/>
        </w:rPr>
        <w:t>standard</w:t>
      </w:r>
      <w:r w:rsidRPr="00B16BF9">
        <w:rPr>
          <w:b/>
          <w:bCs/>
          <w:color w:val="231F20"/>
          <w:spacing w:val="-3"/>
          <w:sz w:val="24"/>
        </w:rPr>
        <w:t xml:space="preserve"> </w:t>
      </w:r>
      <w:r w:rsidRPr="00B16BF9">
        <w:rPr>
          <w:b/>
          <w:bCs/>
          <w:color w:val="231F20"/>
          <w:sz w:val="24"/>
        </w:rPr>
        <w:t>in</w:t>
      </w:r>
      <w:r w:rsidRPr="00B16BF9">
        <w:rPr>
          <w:b/>
          <w:bCs/>
          <w:color w:val="231F20"/>
          <w:spacing w:val="1"/>
          <w:sz w:val="24"/>
        </w:rPr>
        <w:t xml:space="preserve"> </w:t>
      </w:r>
      <w:r w:rsidRPr="00B16BF9">
        <w:rPr>
          <w:b/>
          <w:bCs/>
          <w:color w:val="231F20"/>
          <w:sz w:val="24"/>
        </w:rPr>
        <w:t>the</w:t>
      </w:r>
      <w:r w:rsidRPr="00B16BF9">
        <w:rPr>
          <w:b/>
          <w:bCs/>
          <w:color w:val="231F20"/>
          <w:spacing w:val="-3"/>
          <w:sz w:val="24"/>
        </w:rPr>
        <w:t xml:space="preserve"> </w:t>
      </w:r>
      <w:r w:rsidRPr="00B16BF9">
        <w:rPr>
          <w:b/>
          <w:bCs/>
          <w:color w:val="231F20"/>
          <w:sz w:val="24"/>
        </w:rPr>
        <w:t>ERCOT</w:t>
      </w:r>
      <w:r w:rsidRPr="00B16BF9">
        <w:rPr>
          <w:b/>
          <w:bCs/>
          <w:color w:val="231F20"/>
          <w:spacing w:val="-2"/>
          <w:sz w:val="24"/>
        </w:rPr>
        <w:t xml:space="preserve"> </w:t>
      </w:r>
      <w:r w:rsidRPr="00B16BF9">
        <w:rPr>
          <w:b/>
          <w:bCs/>
          <w:color w:val="231F20"/>
          <w:sz w:val="24"/>
        </w:rPr>
        <w:t>power</w:t>
      </w:r>
      <w:r w:rsidRPr="00B16BF9">
        <w:rPr>
          <w:b/>
          <w:bCs/>
          <w:color w:val="231F20"/>
          <w:spacing w:val="-3"/>
          <w:sz w:val="24"/>
        </w:rPr>
        <w:t xml:space="preserve"> </w:t>
      </w:r>
      <w:r w:rsidRPr="00B16BF9">
        <w:rPr>
          <w:b/>
          <w:bCs/>
          <w:color w:val="231F20"/>
          <w:spacing w:val="-2"/>
          <w:sz w:val="24"/>
        </w:rPr>
        <w:t>region.</w:t>
      </w:r>
    </w:p>
    <w:p w14:paraId="5D30FCB4" w14:textId="77777777" w:rsidR="00B16BF9" w:rsidRPr="00B16BF9" w:rsidRDefault="00000000">
      <w:pPr>
        <w:pStyle w:val="ListParagraph"/>
        <w:numPr>
          <w:ilvl w:val="1"/>
          <w:numId w:val="1"/>
        </w:numPr>
        <w:tabs>
          <w:tab w:val="left" w:pos="820"/>
          <w:tab w:val="left" w:pos="822"/>
        </w:tabs>
        <w:spacing w:before="183"/>
        <w:ind w:left="821" w:hanging="722"/>
        <w:rPr>
          <w:b/>
          <w:bCs/>
          <w:sz w:val="24"/>
        </w:rPr>
      </w:pPr>
      <w:r w:rsidRPr="00B16BF9">
        <w:rPr>
          <w:b/>
          <w:bCs/>
          <w:color w:val="231F20"/>
          <w:sz w:val="24"/>
        </w:rPr>
        <w:t>Should</w:t>
      </w:r>
      <w:r w:rsidRPr="00B16BF9">
        <w:rPr>
          <w:b/>
          <w:bCs/>
          <w:color w:val="231F20"/>
          <w:spacing w:val="-5"/>
          <w:sz w:val="24"/>
        </w:rPr>
        <w:t xml:space="preserve"> </w:t>
      </w:r>
      <w:r w:rsidRPr="00B16BF9">
        <w:rPr>
          <w:b/>
          <w:bCs/>
          <w:color w:val="231F20"/>
          <w:sz w:val="24"/>
        </w:rPr>
        <w:t>the</w:t>
      </w:r>
      <w:r w:rsidRPr="00B16BF9">
        <w:rPr>
          <w:b/>
          <w:bCs/>
          <w:color w:val="231F20"/>
          <w:spacing w:val="-4"/>
          <w:sz w:val="24"/>
        </w:rPr>
        <w:t xml:space="preserve"> </w:t>
      </w:r>
      <w:r w:rsidRPr="00B16BF9">
        <w:rPr>
          <w:b/>
          <w:bCs/>
          <w:color w:val="231F20"/>
          <w:sz w:val="24"/>
        </w:rPr>
        <w:t>reliability</w:t>
      </w:r>
      <w:r w:rsidRPr="00B16BF9">
        <w:rPr>
          <w:b/>
          <w:bCs/>
          <w:color w:val="231F20"/>
          <w:spacing w:val="-5"/>
          <w:sz w:val="24"/>
        </w:rPr>
        <w:t xml:space="preserve"> </w:t>
      </w:r>
      <w:r w:rsidRPr="00B16BF9">
        <w:rPr>
          <w:b/>
          <w:bCs/>
          <w:color w:val="231F20"/>
          <w:sz w:val="24"/>
        </w:rPr>
        <w:t>standard</w:t>
      </w:r>
      <w:r w:rsidRPr="00B16BF9">
        <w:rPr>
          <w:b/>
          <w:bCs/>
          <w:color w:val="231F20"/>
          <w:spacing w:val="-3"/>
          <w:sz w:val="24"/>
        </w:rPr>
        <w:t xml:space="preserve"> </w:t>
      </w:r>
      <w:r w:rsidRPr="00B16BF9">
        <w:rPr>
          <w:b/>
          <w:bCs/>
          <w:color w:val="231F20"/>
          <w:sz w:val="24"/>
        </w:rPr>
        <w:t>include</w:t>
      </w:r>
      <w:r w:rsidRPr="00B16BF9">
        <w:rPr>
          <w:b/>
          <w:bCs/>
          <w:color w:val="231F20"/>
          <w:spacing w:val="-5"/>
          <w:sz w:val="24"/>
        </w:rPr>
        <w:t xml:space="preserve"> </w:t>
      </w:r>
      <w:r w:rsidRPr="00B16BF9">
        <w:rPr>
          <w:b/>
          <w:bCs/>
          <w:color w:val="231F20"/>
          <w:sz w:val="24"/>
        </w:rPr>
        <w:t>a</w:t>
      </w:r>
      <w:r w:rsidRPr="00B16BF9">
        <w:rPr>
          <w:b/>
          <w:bCs/>
          <w:color w:val="231F20"/>
          <w:spacing w:val="-6"/>
          <w:sz w:val="24"/>
        </w:rPr>
        <w:t xml:space="preserve"> </w:t>
      </w:r>
      <w:r w:rsidRPr="00B16BF9">
        <w:rPr>
          <w:b/>
          <w:bCs/>
          <w:color w:val="231F20"/>
          <w:sz w:val="24"/>
        </w:rPr>
        <w:t>locational</w:t>
      </w:r>
      <w:r w:rsidRPr="00B16BF9">
        <w:rPr>
          <w:b/>
          <w:bCs/>
          <w:color w:val="231F20"/>
          <w:spacing w:val="-4"/>
          <w:sz w:val="24"/>
        </w:rPr>
        <w:t xml:space="preserve"> </w:t>
      </w:r>
      <w:r w:rsidRPr="00B16BF9">
        <w:rPr>
          <w:b/>
          <w:bCs/>
          <w:color w:val="231F20"/>
          <w:spacing w:val="-2"/>
          <w:sz w:val="24"/>
        </w:rPr>
        <w:t>requirement?</w:t>
      </w:r>
      <w:r w:rsidR="00A7710B" w:rsidRPr="00B16BF9">
        <w:rPr>
          <w:b/>
          <w:bCs/>
          <w:color w:val="231F20"/>
          <w:spacing w:val="-2"/>
          <w:sz w:val="24"/>
        </w:rPr>
        <w:t xml:space="preserve"> </w:t>
      </w:r>
    </w:p>
    <w:p w14:paraId="15EB4145" w14:textId="3E64AE5A" w:rsidR="00082B2D" w:rsidRPr="00B16BF9" w:rsidRDefault="00A7710B" w:rsidP="00B16BF9">
      <w:pPr>
        <w:tabs>
          <w:tab w:val="left" w:pos="820"/>
          <w:tab w:val="left" w:pos="822"/>
        </w:tabs>
        <w:spacing w:before="183"/>
        <w:ind w:left="99"/>
        <w:rPr>
          <w:sz w:val="24"/>
        </w:rPr>
      </w:pPr>
      <w:r w:rsidRPr="00B16BF9">
        <w:rPr>
          <w:color w:val="231F20"/>
          <w:spacing w:val="-2"/>
          <w:sz w:val="24"/>
        </w:rPr>
        <w:t>Yes</w:t>
      </w:r>
      <w:r w:rsidR="00F27829">
        <w:rPr>
          <w:color w:val="231F20"/>
          <w:spacing w:val="-2"/>
          <w:sz w:val="24"/>
        </w:rPr>
        <w:t>,</w:t>
      </w:r>
      <w:r w:rsidRPr="00B16BF9">
        <w:rPr>
          <w:color w:val="231F20"/>
          <w:spacing w:val="-2"/>
          <w:sz w:val="24"/>
        </w:rPr>
        <w:t xml:space="preserve"> the reliability standard should include a locational requirement. Because each area has </w:t>
      </w:r>
      <w:r w:rsidR="00F27829">
        <w:rPr>
          <w:color w:val="231F20"/>
          <w:spacing w:val="-2"/>
          <w:sz w:val="24"/>
        </w:rPr>
        <w:t xml:space="preserve">a </w:t>
      </w:r>
      <w:r w:rsidRPr="00B16BF9">
        <w:rPr>
          <w:color w:val="231F20"/>
          <w:spacing w:val="-2"/>
          <w:sz w:val="24"/>
        </w:rPr>
        <w:t>unique set of resources</w:t>
      </w:r>
      <w:r w:rsidR="00F27829">
        <w:rPr>
          <w:color w:val="231F20"/>
          <w:spacing w:val="-2"/>
          <w:sz w:val="24"/>
        </w:rPr>
        <w:t>,</w:t>
      </w:r>
      <w:r w:rsidRPr="00B16BF9">
        <w:rPr>
          <w:color w:val="231F20"/>
          <w:spacing w:val="-2"/>
          <w:sz w:val="24"/>
        </w:rPr>
        <w:t xml:space="preserve"> both supply and demand and unique characteristics of customers, having a locational requirement enables an accurate description of reliability needs. Additionally, a locational requirement </w:t>
      </w:r>
      <w:r w:rsidR="00B16BF9">
        <w:rPr>
          <w:color w:val="231F20"/>
          <w:spacing w:val="-2"/>
          <w:sz w:val="24"/>
        </w:rPr>
        <w:t>p</w:t>
      </w:r>
      <w:r w:rsidRPr="00B16BF9">
        <w:rPr>
          <w:color w:val="231F20"/>
          <w:spacing w:val="-2"/>
          <w:sz w:val="24"/>
        </w:rPr>
        <w:t xml:space="preserve">rovides transparency on the level of transmission support available to an area from an external area. For </w:t>
      </w:r>
      <w:r w:rsidR="00B16BF9" w:rsidRPr="00B16BF9">
        <w:rPr>
          <w:color w:val="231F20"/>
          <w:spacing w:val="-2"/>
          <w:sz w:val="24"/>
        </w:rPr>
        <w:t>example,</w:t>
      </w:r>
      <w:r w:rsidRPr="00B16BF9">
        <w:rPr>
          <w:color w:val="231F20"/>
          <w:spacing w:val="-2"/>
          <w:sz w:val="24"/>
        </w:rPr>
        <w:t xml:space="preserve"> if an area has a planning reserve margin requirement of 15%</w:t>
      </w:r>
      <w:r w:rsidR="00F27829">
        <w:rPr>
          <w:color w:val="231F20"/>
          <w:spacing w:val="-2"/>
          <w:sz w:val="24"/>
        </w:rPr>
        <w:t xml:space="preserve"> with transmission support</w:t>
      </w:r>
      <w:r w:rsidRPr="00B16BF9">
        <w:rPr>
          <w:color w:val="231F20"/>
          <w:spacing w:val="-2"/>
          <w:sz w:val="24"/>
        </w:rPr>
        <w:t xml:space="preserve">, it is likely another area without enough transmission support has a higher reserve margin of say 20%. </w:t>
      </w:r>
      <w:r w:rsidR="00B16BF9" w:rsidRPr="00B16BF9">
        <w:rPr>
          <w:color w:val="231F20"/>
          <w:spacing w:val="-2"/>
          <w:sz w:val="24"/>
        </w:rPr>
        <w:t>However,</w:t>
      </w:r>
      <w:r w:rsidRPr="00B16BF9">
        <w:rPr>
          <w:color w:val="231F20"/>
          <w:spacing w:val="-2"/>
          <w:sz w:val="24"/>
        </w:rPr>
        <w:t xml:space="preserve"> it should be noted that the entire ERCOT system reserve margin could be 15% hypothetically, but each local area would need a margin in single digits</w:t>
      </w:r>
      <w:r w:rsidR="00F27829">
        <w:rPr>
          <w:color w:val="231F20"/>
          <w:spacing w:val="-2"/>
          <w:sz w:val="24"/>
        </w:rPr>
        <w:t>,</w:t>
      </w:r>
      <w:r w:rsidRPr="00B16BF9">
        <w:rPr>
          <w:color w:val="231F20"/>
          <w:spacing w:val="-2"/>
          <w:sz w:val="24"/>
        </w:rPr>
        <w:t xml:space="preserve"> like 9% depending upon the coincidence of an area</w:t>
      </w:r>
      <w:r w:rsidR="00F27829">
        <w:rPr>
          <w:color w:val="231F20"/>
          <w:spacing w:val="-2"/>
          <w:sz w:val="24"/>
        </w:rPr>
        <w:t>'</w:t>
      </w:r>
      <w:r w:rsidRPr="00B16BF9">
        <w:rPr>
          <w:color w:val="231F20"/>
          <w:spacing w:val="-2"/>
          <w:sz w:val="24"/>
        </w:rPr>
        <w:t xml:space="preserve">s peak load with </w:t>
      </w:r>
      <w:r w:rsidR="00F27829">
        <w:rPr>
          <w:color w:val="231F20"/>
          <w:spacing w:val="-2"/>
          <w:sz w:val="24"/>
        </w:rPr>
        <w:t xml:space="preserve">the </w:t>
      </w:r>
      <w:r w:rsidRPr="00B16BF9">
        <w:rPr>
          <w:color w:val="231F20"/>
          <w:spacing w:val="-2"/>
          <w:sz w:val="24"/>
        </w:rPr>
        <w:t xml:space="preserve">ERCOT system peak. </w:t>
      </w:r>
      <w:r w:rsidR="00B16BF9" w:rsidRPr="00B16BF9">
        <w:rPr>
          <w:color w:val="231F20"/>
          <w:spacing w:val="-2"/>
          <w:sz w:val="24"/>
        </w:rPr>
        <w:t>So,</w:t>
      </w:r>
      <w:r w:rsidRPr="00B16BF9">
        <w:rPr>
          <w:color w:val="231F20"/>
          <w:spacing w:val="-2"/>
          <w:sz w:val="24"/>
        </w:rPr>
        <w:t xml:space="preserve"> this peak load contribution of an area to ERCOT</w:t>
      </w:r>
      <w:r w:rsidR="00F27829">
        <w:rPr>
          <w:color w:val="231F20"/>
          <w:spacing w:val="-2"/>
          <w:sz w:val="24"/>
        </w:rPr>
        <w:t>'</w:t>
      </w:r>
      <w:r w:rsidRPr="00B16BF9">
        <w:rPr>
          <w:color w:val="231F20"/>
          <w:spacing w:val="-2"/>
          <w:sz w:val="24"/>
        </w:rPr>
        <w:t>s system peak is essential in setting the locational requirement.</w:t>
      </w:r>
    </w:p>
    <w:p w14:paraId="45667672" w14:textId="77777777" w:rsidR="00B16BF9" w:rsidRPr="00B16BF9" w:rsidRDefault="00000000">
      <w:pPr>
        <w:pStyle w:val="ListParagraph"/>
        <w:numPr>
          <w:ilvl w:val="1"/>
          <w:numId w:val="1"/>
        </w:numPr>
        <w:tabs>
          <w:tab w:val="left" w:pos="821"/>
          <w:tab w:val="left" w:pos="822"/>
        </w:tabs>
        <w:spacing w:before="180"/>
        <w:ind w:left="821" w:hanging="722"/>
        <w:rPr>
          <w:b/>
          <w:bCs/>
          <w:sz w:val="24"/>
        </w:rPr>
      </w:pPr>
      <w:r w:rsidRPr="00B16BF9">
        <w:rPr>
          <w:b/>
          <w:bCs/>
          <w:color w:val="231F20"/>
          <w:sz w:val="24"/>
        </w:rPr>
        <w:t>Should</w:t>
      </w:r>
      <w:r w:rsidRPr="00B16BF9">
        <w:rPr>
          <w:b/>
          <w:bCs/>
          <w:color w:val="231F20"/>
          <w:spacing w:val="-5"/>
          <w:sz w:val="24"/>
        </w:rPr>
        <w:t xml:space="preserve"> </w:t>
      </w:r>
      <w:r w:rsidRPr="00B16BF9">
        <w:rPr>
          <w:b/>
          <w:bCs/>
          <w:color w:val="231F20"/>
          <w:sz w:val="24"/>
        </w:rPr>
        <w:t>the</w:t>
      </w:r>
      <w:r w:rsidRPr="00B16BF9">
        <w:rPr>
          <w:b/>
          <w:bCs/>
          <w:color w:val="231F20"/>
          <w:spacing w:val="-3"/>
          <w:sz w:val="24"/>
        </w:rPr>
        <w:t xml:space="preserve"> </w:t>
      </w:r>
      <w:r w:rsidRPr="00B16BF9">
        <w:rPr>
          <w:b/>
          <w:bCs/>
          <w:color w:val="231F20"/>
          <w:sz w:val="24"/>
        </w:rPr>
        <w:t>reliability</w:t>
      </w:r>
      <w:r w:rsidRPr="00B16BF9">
        <w:rPr>
          <w:b/>
          <w:bCs/>
          <w:color w:val="231F20"/>
          <w:spacing w:val="-4"/>
          <w:sz w:val="24"/>
        </w:rPr>
        <w:t xml:space="preserve"> </w:t>
      </w:r>
      <w:r w:rsidRPr="00B16BF9">
        <w:rPr>
          <w:b/>
          <w:bCs/>
          <w:color w:val="231F20"/>
          <w:sz w:val="24"/>
        </w:rPr>
        <w:t>standard</w:t>
      </w:r>
      <w:r w:rsidRPr="00B16BF9">
        <w:rPr>
          <w:b/>
          <w:bCs/>
          <w:color w:val="231F20"/>
          <w:spacing w:val="-4"/>
          <w:sz w:val="24"/>
        </w:rPr>
        <w:t xml:space="preserve"> </w:t>
      </w:r>
      <w:r w:rsidRPr="00B16BF9">
        <w:rPr>
          <w:b/>
          <w:bCs/>
          <w:color w:val="231F20"/>
          <w:sz w:val="24"/>
        </w:rPr>
        <w:t>include</w:t>
      </w:r>
      <w:r w:rsidRPr="00B16BF9">
        <w:rPr>
          <w:b/>
          <w:bCs/>
          <w:color w:val="231F20"/>
          <w:spacing w:val="-5"/>
          <w:sz w:val="24"/>
        </w:rPr>
        <w:t xml:space="preserve"> </w:t>
      </w:r>
      <w:r w:rsidRPr="00B16BF9">
        <w:rPr>
          <w:b/>
          <w:bCs/>
          <w:color w:val="231F20"/>
          <w:sz w:val="24"/>
        </w:rPr>
        <w:t>a</w:t>
      </w:r>
      <w:r w:rsidRPr="00B16BF9">
        <w:rPr>
          <w:b/>
          <w:bCs/>
          <w:color w:val="231F20"/>
          <w:spacing w:val="-5"/>
          <w:sz w:val="24"/>
        </w:rPr>
        <w:t xml:space="preserve"> </w:t>
      </w:r>
      <w:r w:rsidRPr="00B16BF9">
        <w:rPr>
          <w:b/>
          <w:bCs/>
          <w:color w:val="231F20"/>
          <w:sz w:val="24"/>
        </w:rPr>
        <w:t>seasonal</w:t>
      </w:r>
      <w:r w:rsidRPr="00B16BF9">
        <w:rPr>
          <w:b/>
          <w:bCs/>
          <w:color w:val="231F20"/>
          <w:spacing w:val="-1"/>
          <w:sz w:val="24"/>
        </w:rPr>
        <w:t xml:space="preserve"> </w:t>
      </w:r>
      <w:r w:rsidRPr="00B16BF9">
        <w:rPr>
          <w:b/>
          <w:bCs/>
          <w:color w:val="231F20"/>
          <w:spacing w:val="-2"/>
          <w:sz w:val="24"/>
        </w:rPr>
        <w:t>component?</w:t>
      </w:r>
      <w:r w:rsidR="00A7710B" w:rsidRPr="00B16BF9">
        <w:rPr>
          <w:b/>
          <w:bCs/>
          <w:color w:val="231F20"/>
          <w:spacing w:val="-2"/>
          <w:sz w:val="24"/>
        </w:rPr>
        <w:t xml:space="preserve"> </w:t>
      </w:r>
    </w:p>
    <w:p w14:paraId="7D33C164" w14:textId="5B06736D" w:rsidR="00082B2D" w:rsidRPr="00B16BF9" w:rsidRDefault="00A7710B" w:rsidP="00B16BF9">
      <w:pPr>
        <w:tabs>
          <w:tab w:val="left" w:pos="821"/>
          <w:tab w:val="left" w:pos="822"/>
        </w:tabs>
        <w:spacing w:before="180"/>
        <w:ind w:left="99"/>
        <w:rPr>
          <w:sz w:val="24"/>
        </w:rPr>
      </w:pPr>
      <w:r w:rsidRPr="00B16BF9">
        <w:rPr>
          <w:color w:val="231F20"/>
          <w:spacing w:val="-2"/>
          <w:sz w:val="24"/>
        </w:rPr>
        <w:t>Yes</w:t>
      </w:r>
      <w:r w:rsidR="00F27829">
        <w:rPr>
          <w:color w:val="231F20"/>
          <w:spacing w:val="-2"/>
          <w:sz w:val="24"/>
        </w:rPr>
        <w:t>,</w:t>
      </w:r>
      <w:r w:rsidRPr="00B16BF9">
        <w:rPr>
          <w:color w:val="231F20"/>
          <w:spacing w:val="-2"/>
          <w:sz w:val="24"/>
        </w:rPr>
        <w:t xml:space="preserve"> the reliability standard should include a seasonal component. The reason for this seasonal aspect is traditional</w:t>
      </w:r>
      <w:r w:rsidR="00F27829">
        <w:rPr>
          <w:color w:val="231F20"/>
          <w:spacing w:val="-2"/>
          <w:sz w:val="24"/>
        </w:rPr>
        <w:t>. T</w:t>
      </w:r>
      <w:r w:rsidRPr="00B16BF9">
        <w:rPr>
          <w:color w:val="231F20"/>
          <w:spacing w:val="-2"/>
          <w:sz w:val="24"/>
        </w:rPr>
        <w:t>he industry has been concerned about summer peak load hours. Hence the planning reserve margin requirement centered around the summer peak load. However</w:t>
      </w:r>
      <w:r w:rsidR="00F27829">
        <w:rPr>
          <w:color w:val="231F20"/>
          <w:spacing w:val="-2"/>
          <w:sz w:val="24"/>
        </w:rPr>
        <w:t>,</w:t>
      </w:r>
      <w:r w:rsidRPr="00B16BF9">
        <w:rPr>
          <w:color w:val="231F20"/>
          <w:spacing w:val="-2"/>
          <w:sz w:val="24"/>
        </w:rPr>
        <w:t xml:space="preserve"> in the recent past, capacity deficiencies </w:t>
      </w:r>
      <w:r w:rsidR="00F27829">
        <w:rPr>
          <w:color w:val="231F20"/>
          <w:spacing w:val="-2"/>
          <w:sz w:val="24"/>
        </w:rPr>
        <w:t>occurred</w:t>
      </w:r>
      <w:r w:rsidRPr="00B16BF9">
        <w:rPr>
          <w:color w:val="231F20"/>
          <w:spacing w:val="-2"/>
          <w:sz w:val="24"/>
        </w:rPr>
        <w:t xml:space="preserve"> in winter </w:t>
      </w:r>
      <w:r w:rsidR="00F27829">
        <w:rPr>
          <w:color w:val="231F20"/>
          <w:spacing w:val="-2"/>
          <w:sz w:val="24"/>
        </w:rPr>
        <w:t>and</w:t>
      </w:r>
      <w:r w:rsidRPr="00B16BF9">
        <w:rPr>
          <w:color w:val="231F20"/>
          <w:spacing w:val="-2"/>
          <w:sz w:val="24"/>
        </w:rPr>
        <w:t xml:space="preserve"> shoulder months</w:t>
      </w:r>
      <w:r w:rsidR="00F27829">
        <w:rPr>
          <w:color w:val="231F20"/>
          <w:spacing w:val="-2"/>
          <w:sz w:val="24"/>
        </w:rPr>
        <w:t>. T</w:t>
      </w:r>
      <w:r w:rsidRPr="00B16BF9">
        <w:rPr>
          <w:color w:val="231F20"/>
          <w:spacing w:val="-2"/>
          <w:sz w:val="24"/>
        </w:rPr>
        <w:t>he variation in capacity in these winter and shoulder months is better captured if the reliability standard include</w:t>
      </w:r>
      <w:r w:rsidR="00F27829">
        <w:rPr>
          <w:color w:val="231F20"/>
          <w:spacing w:val="-2"/>
          <w:sz w:val="24"/>
        </w:rPr>
        <w:t>s</w:t>
      </w:r>
      <w:r w:rsidRPr="00B16BF9">
        <w:rPr>
          <w:color w:val="231F20"/>
          <w:spacing w:val="-2"/>
          <w:sz w:val="24"/>
        </w:rPr>
        <w:t xml:space="preserve"> a seasonal component. For example, the winter demand is typically less than the summer demand</w:t>
      </w:r>
      <w:r w:rsidR="00F27829">
        <w:rPr>
          <w:color w:val="231F20"/>
          <w:spacing w:val="-2"/>
          <w:sz w:val="24"/>
        </w:rPr>
        <w:t>;</w:t>
      </w:r>
      <w:r w:rsidRPr="00B16BF9">
        <w:rPr>
          <w:color w:val="231F20"/>
          <w:spacing w:val="-2"/>
          <w:sz w:val="24"/>
        </w:rPr>
        <w:t xml:space="preserve"> hence we expect the loss of load expectation analysis to indicate </w:t>
      </w:r>
      <w:r w:rsidR="00F27829">
        <w:rPr>
          <w:color w:val="231F20"/>
          <w:spacing w:val="-2"/>
          <w:sz w:val="24"/>
        </w:rPr>
        <w:t xml:space="preserve">that the </w:t>
      </w:r>
      <w:r w:rsidRPr="00B16BF9">
        <w:rPr>
          <w:color w:val="231F20"/>
          <w:spacing w:val="-2"/>
          <w:sz w:val="24"/>
        </w:rPr>
        <w:t xml:space="preserve">winter season </w:t>
      </w:r>
      <w:r w:rsidR="00F27829">
        <w:rPr>
          <w:color w:val="231F20"/>
          <w:spacing w:val="-2"/>
          <w:sz w:val="24"/>
        </w:rPr>
        <w:t>has</w:t>
      </w:r>
      <w:r w:rsidRPr="00B16BF9">
        <w:rPr>
          <w:color w:val="231F20"/>
          <w:spacing w:val="-2"/>
          <w:sz w:val="24"/>
        </w:rPr>
        <w:t xml:space="preserve"> better reliability than the summer. But that assumption is not true if the winter </w:t>
      </w:r>
      <w:r w:rsidR="00F27829">
        <w:rPr>
          <w:color w:val="231F20"/>
          <w:spacing w:val="-2"/>
          <w:sz w:val="24"/>
        </w:rPr>
        <w:t>heating load demand is similar to an air conditioner load in summer</w:t>
      </w:r>
      <w:r w:rsidRPr="00B16BF9">
        <w:rPr>
          <w:color w:val="231F20"/>
          <w:spacing w:val="-2"/>
          <w:sz w:val="24"/>
        </w:rPr>
        <w:t xml:space="preserve">. Additionally, in </w:t>
      </w:r>
      <w:r w:rsidR="00F27829">
        <w:rPr>
          <w:color w:val="231F20"/>
          <w:spacing w:val="-2"/>
          <w:sz w:val="24"/>
        </w:rPr>
        <w:t xml:space="preserve">the </w:t>
      </w:r>
      <w:r w:rsidRPr="00B16BF9">
        <w:rPr>
          <w:color w:val="231F20"/>
          <w:spacing w:val="-2"/>
          <w:sz w:val="24"/>
        </w:rPr>
        <w:t>shoulder months, in March</w:t>
      </w:r>
      <w:r w:rsidR="00B16BF9">
        <w:rPr>
          <w:color w:val="231F20"/>
          <w:spacing w:val="-2"/>
          <w:sz w:val="24"/>
        </w:rPr>
        <w:t>/</w:t>
      </w:r>
      <w:r w:rsidRPr="00B16BF9">
        <w:rPr>
          <w:color w:val="231F20"/>
          <w:spacing w:val="-2"/>
          <w:sz w:val="24"/>
        </w:rPr>
        <w:t>April</w:t>
      </w:r>
      <w:r w:rsidR="00F27829">
        <w:rPr>
          <w:color w:val="231F20"/>
          <w:spacing w:val="-2"/>
          <w:sz w:val="24"/>
        </w:rPr>
        <w:t>,</w:t>
      </w:r>
      <w:r w:rsidRPr="00B16BF9">
        <w:rPr>
          <w:color w:val="231F20"/>
          <w:spacing w:val="-2"/>
          <w:sz w:val="24"/>
        </w:rPr>
        <w:t xml:space="preserve"> we expect most units to conduct preventive maintenance </w:t>
      </w:r>
      <w:r w:rsidR="00F27829">
        <w:rPr>
          <w:color w:val="231F20"/>
          <w:spacing w:val="-2"/>
          <w:sz w:val="24"/>
        </w:rPr>
        <w:t>to prepare</w:t>
      </w:r>
      <w:r w:rsidRPr="00B16BF9">
        <w:rPr>
          <w:color w:val="231F20"/>
          <w:spacing w:val="-2"/>
          <w:sz w:val="24"/>
        </w:rPr>
        <w:t xml:space="preserve"> for maximum output during </w:t>
      </w:r>
      <w:r w:rsidR="00F27829">
        <w:rPr>
          <w:color w:val="231F20"/>
          <w:spacing w:val="-2"/>
          <w:sz w:val="24"/>
        </w:rPr>
        <w:t>peak summer</w:t>
      </w:r>
      <w:r w:rsidRPr="00B16BF9">
        <w:rPr>
          <w:color w:val="231F20"/>
          <w:spacing w:val="-2"/>
          <w:sz w:val="24"/>
        </w:rPr>
        <w:t xml:space="preserve"> </w:t>
      </w:r>
      <w:r w:rsidRPr="00B16BF9">
        <w:rPr>
          <w:color w:val="231F20"/>
          <w:spacing w:val="-2"/>
          <w:sz w:val="24"/>
        </w:rPr>
        <w:lastRenderedPageBreak/>
        <w:t xml:space="preserve">load conditions. These </w:t>
      </w:r>
      <w:bookmarkStart w:id="0" w:name="_Hlk131501038"/>
      <w:r w:rsidRPr="00B16BF9">
        <w:rPr>
          <w:color w:val="231F20"/>
          <w:spacing w:val="-2"/>
          <w:sz w:val="24"/>
        </w:rPr>
        <w:t xml:space="preserve">variations in </w:t>
      </w:r>
      <w:r w:rsidR="00F27829">
        <w:rPr>
          <w:color w:val="231F20"/>
          <w:spacing w:val="-2"/>
          <w:sz w:val="24"/>
        </w:rPr>
        <w:t>maintenance schedule</w:t>
      </w:r>
      <w:r w:rsidR="00F27829" w:rsidRPr="00B16BF9">
        <w:rPr>
          <w:color w:val="231F20"/>
          <w:spacing w:val="-2"/>
          <w:sz w:val="24"/>
        </w:rPr>
        <w:t xml:space="preserve">s </w:t>
      </w:r>
      <w:r w:rsidR="00F27829">
        <w:rPr>
          <w:color w:val="231F20"/>
          <w:spacing w:val="-2"/>
          <w:sz w:val="24"/>
        </w:rPr>
        <w:t xml:space="preserve">of supply and demand resources </w:t>
      </w:r>
      <w:r w:rsidRPr="00B16BF9">
        <w:rPr>
          <w:color w:val="231F20"/>
          <w:spacing w:val="-2"/>
          <w:sz w:val="24"/>
        </w:rPr>
        <w:t>should be modeled to assess the reliability standard required for each season</w:t>
      </w:r>
      <w:bookmarkEnd w:id="0"/>
      <w:r w:rsidRPr="00B16BF9">
        <w:rPr>
          <w:color w:val="231F20"/>
          <w:spacing w:val="-2"/>
          <w:sz w:val="24"/>
        </w:rPr>
        <w:t>.</w:t>
      </w:r>
    </w:p>
    <w:p w14:paraId="6A3F5B84" w14:textId="77777777" w:rsidR="00B16BF9" w:rsidRPr="00B16BF9" w:rsidRDefault="00000000">
      <w:pPr>
        <w:pStyle w:val="ListParagraph"/>
        <w:numPr>
          <w:ilvl w:val="1"/>
          <w:numId w:val="1"/>
        </w:numPr>
        <w:tabs>
          <w:tab w:val="left" w:pos="820"/>
          <w:tab w:val="left" w:pos="821"/>
        </w:tabs>
        <w:spacing w:before="182"/>
        <w:rPr>
          <w:b/>
          <w:bCs/>
          <w:sz w:val="24"/>
        </w:rPr>
      </w:pPr>
      <w:r w:rsidRPr="00B16BF9">
        <w:rPr>
          <w:b/>
          <w:bCs/>
          <w:color w:val="231F20"/>
          <w:sz w:val="24"/>
        </w:rPr>
        <w:t>How</w:t>
      </w:r>
      <w:r w:rsidRPr="00B16BF9">
        <w:rPr>
          <w:b/>
          <w:bCs/>
          <w:color w:val="231F20"/>
          <w:spacing w:val="-4"/>
          <w:sz w:val="24"/>
        </w:rPr>
        <w:t xml:space="preserve"> </w:t>
      </w:r>
      <w:r w:rsidRPr="00B16BF9">
        <w:rPr>
          <w:b/>
          <w:bCs/>
          <w:color w:val="231F20"/>
          <w:sz w:val="24"/>
        </w:rPr>
        <w:t>can extreme</w:t>
      </w:r>
      <w:r w:rsidRPr="00B16BF9">
        <w:rPr>
          <w:b/>
          <w:bCs/>
          <w:color w:val="231F20"/>
          <w:spacing w:val="-1"/>
          <w:sz w:val="24"/>
        </w:rPr>
        <w:t xml:space="preserve"> </w:t>
      </w:r>
      <w:r w:rsidRPr="00B16BF9">
        <w:rPr>
          <w:b/>
          <w:bCs/>
          <w:color w:val="231F20"/>
          <w:sz w:val="24"/>
        </w:rPr>
        <w:t>events be</w:t>
      </w:r>
      <w:r w:rsidRPr="00B16BF9">
        <w:rPr>
          <w:b/>
          <w:bCs/>
          <w:color w:val="231F20"/>
          <w:spacing w:val="-3"/>
          <w:sz w:val="24"/>
        </w:rPr>
        <w:t xml:space="preserve"> </w:t>
      </w:r>
      <w:r w:rsidRPr="00B16BF9">
        <w:rPr>
          <w:b/>
          <w:bCs/>
          <w:color w:val="231F20"/>
          <w:sz w:val="24"/>
        </w:rPr>
        <w:t>captured</w:t>
      </w:r>
      <w:r w:rsidRPr="00B16BF9">
        <w:rPr>
          <w:b/>
          <w:bCs/>
          <w:color w:val="231F20"/>
          <w:spacing w:val="-2"/>
          <w:sz w:val="24"/>
        </w:rPr>
        <w:t xml:space="preserve"> </w:t>
      </w:r>
      <w:r w:rsidRPr="00B16BF9">
        <w:rPr>
          <w:b/>
          <w:bCs/>
          <w:color w:val="231F20"/>
          <w:sz w:val="24"/>
        </w:rPr>
        <w:t>in</w:t>
      </w:r>
      <w:r w:rsidRPr="00B16BF9">
        <w:rPr>
          <w:b/>
          <w:bCs/>
          <w:color w:val="231F20"/>
          <w:spacing w:val="-2"/>
          <w:sz w:val="24"/>
        </w:rPr>
        <w:t xml:space="preserve"> </w:t>
      </w:r>
      <w:r w:rsidRPr="00B16BF9">
        <w:rPr>
          <w:b/>
          <w:bCs/>
          <w:color w:val="231F20"/>
          <w:sz w:val="24"/>
        </w:rPr>
        <w:t>a</w:t>
      </w:r>
      <w:r w:rsidRPr="00B16BF9">
        <w:rPr>
          <w:b/>
          <w:bCs/>
          <w:color w:val="231F20"/>
          <w:spacing w:val="-2"/>
          <w:sz w:val="24"/>
        </w:rPr>
        <w:t xml:space="preserve"> </w:t>
      </w:r>
      <w:r w:rsidRPr="00B16BF9">
        <w:rPr>
          <w:b/>
          <w:bCs/>
          <w:color w:val="231F20"/>
          <w:sz w:val="24"/>
        </w:rPr>
        <w:t>reliability</w:t>
      </w:r>
      <w:r w:rsidRPr="00B16BF9">
        <w:rPr>
          <w:b/>
          <w:bCs/>
          <w:color w:val="231F20"/>
          <w:spacing w:val="-2"/>
          <w:sz w:val="24"/>
        </w:rPr>
        <w:t xml:space="preserve"> standard?</w:t>
      </w:r>
      <w:r w:rsidR="00A7710B" w:rsidRPr="00B16BF9">
        <w:rPr>
          <w:b/>
          <w:bCs/>
          <w:color w:val="231F20"/>
          <w:spacing w:val="-2"/>
          <w:sz w:val="24"/>
        </w:rPr>
        <w:t xml:space="preserve"> </w:t>
      </w:r>
    </w:p>
    <w:p w14:paraId="458F048D" w14:textId="46C927AC" w:rsidR="00082B2D" w:rsidRPr="00B16BF9" w:rsidRDefault="00A7710B" w:rsidP="00B16BF9">
      <w:pPr>
        <w:tabs>
          <w:tab w:val="left" w:pos="820"/>
          <w:tab w:val="left" w:pos="821"/>
        </w:tabs>
        <w:spacing w:before="182"/>
        <w:ind w:left="99"/>
        <w:rPr>
          <w:sz w:val="24"/>
        </w:rPr>
      </w:pPr>
      <w:r w:rsidRPr="00B16BF9">
        <w:rPr>
          <w:color w:val="231F20"/>
          <w:spacing w:val="-2"/>
          <w:sz w:val="24"/>
        </w:rPr>
        <w:t>In a sense</w:t>
      </w:r>
      <w:r w:rsidR="00B16BF9">
        <w:rPr>
          <w:color w:val="231F20"/>
          <w:spacing w:val="-2"/>
          <w:sz w:val="24"/>
        </w:rPr>
        <w:t>,</w:t>
      </w:r>
      <w:r w:rsidRPr="00B16BF9">
        <w:rPr>
          <w:color w:val="231F20"/>
          <w:spacing w:val="-2"/>
          <w:sz w:val="24"/>
        </w:rPr>
        <w:t xml:space="preserve"> extreme events are already captured in the</w:t>
      </w:r>
      <w:r w:rsidR="00F27829">
        <w:rPr>
          <w:color w:val="231F20"/>
          <w:spacing w:val="-2"/>
          <w:sz w:val="24"/>
        </w:rPr>
        <w:t xml:space="preserve"> LOLE</w:t>
      </w:r>
      <w:r w:rsidRPr="00B16BF9">
        <w:rPr>
          <w:color w:val="231F20"/>
          <w:spacing w:val="-2"/>
          <w:sz w:val="24"/>
        </w:rPr>
        <w:t xml:space="preserve"> analysis. The reason for this is</w:t>
      </w:r>
      <w:r w:rsidR="00F27829">
        <w:rPr>
          <w:color w:val="231F20"/>
          <w:spacing w:val="-2"/>
          <w:sz w:val="24"/>
        </w:rPr>
        <w:t xml:space="preserve"> that all the supply and demand side </w:t>
      </w:r>
      <w:proofErr w:type="gramStart"/>
      <w:r w:rsidR="00F27829">
        <w:rPr>
          <w:color w:val="231F20"/>
          <w:spacing w:val="-2"/>
          <w:sz w:val="24"/>
        </w:rPr>
        <w:t>units</w:t>
      </w:r>
      <w:proofErr w:type="gramEnd"/>
      <w:r w:rsidR="00F27829">
        <w:rPr>
          <w:color w:val="231F20"/>
          <w:spacing w:val="-2"/>
          <w:sz w:val="24"/>
        </w:rPr>
        <w:t xml:space="preserve"> outage statistics are modeled in the analysis,</w:t>
      </w:r>
      <w:r w:rsidRPr="00B16BF9">
        <w:rPr>
          <w:color w:val="231F20"/>
          <w:spacing w:val="-2"/>
          <w:sz w:val="24"/>
        </w:rPr>
        <w:t xml:space="preserve"> but those outage statistics are based on historical three-year or five</w:t>
      </w:r>
      <w:r w:rsidR="00B16BF9">
        <w:rPr>
          <w:color w:val="231F20"/>
          <w:spacing w:val="-2"/>
          <w:sz w:val="24"/>
        </w:rPr>
        <w:t>-</w:t>
      </w:r>
      <w:r w:rsidRPr="00B16BF9">
        <w:rPr>
          <w:color w:val="231F20"/>
          <w:spacing w:val="-2"/>
          <w:sz w:val="24"/>
        </w:rPr>
        <w:t xml:space="preserve">year average values. It is common knowledge that a </w:t>
      </w:r>
      <w:r w:rsidR="00B16BF9" w:rsidRPr="00B16BF9">
        <w:rPr>
          <w:color w:val="231F20"/>
          <w:spacing w:val="-2"/>
          <w:sz w:val="24"/>
        </w:rPr>
        <w:t>unit</w:t>
      </w:r>
      <w:r w:rsidR="00F27829">
        <w:rPr>
          <w:color w:val="231F20"/>
          <w:spacing w:val="-2"/>
          <w:sz w:val="24"/>
        </w:rPr>
        <w:t>'</w:t>
      </w:r>
      <w:r w:rsidR="00B16BF9" w:rsidRPr="00B16BF9">
        <w:rPr>
          <w:color w:val="231F20"/>
          <w:spacing w:val="-2"/>
          <w:sz w:val="24"/>
        </w:rPr>
        <w:t>s</w:t>
      </w:r>
      <w:r w:rsidRPr="00B16BF9">
        <w:rPr>
          <w:color w:val="231F20"/>
          <w:spacing w:val="-2"/>
          <w:sz w:val="24"/>
        </w:rPr>
        <w:t xml:space="preserve"> reliability </w:t>
      </w:r>
      <w:r w:rsidR="00F27829">
        <w:rPr>
          <w:color w:val="231F20"/>
          <w:spacing w:val="-2"/>
          <w:sz w:val="24"/>
        </w:rPr>
        <w:t>will</w:t>
      </w:r>
      <w:r w:rsidRPr="00B16BF9">
        <w:rPr>
          <w:color w:val="231F20"/>
          <w:spacing w:val="-2"/>
          <w:sz w:val="24"/>
        </w:rPr>
        <w:t xml:space="preserve"> look much better if a five</w:t>
      </w:r>
      <w:r w:rsidR="00F27829">
        <w:rPr>
          <w:color w:val="231F20"/>
          <w:spacing w:val="-2"/>
          <w:sz w:val="24"/>
        </w:rPr>
        <w:t>-</w:t>
      </w:r>
      <w:r w:rsidRPr="00B16BF9">
        <w:rPr>
          <w:color w:val="231F20"/>
          <w:spacing w:val="-2"/>
          <w:sz w:val="24"/>
        </w:rPr>
        <w:t>year historical average is taken compared to last year. Hence before assuming that extreme events are not captured in a reliability standard, the Commission is better served by looking at the historical averages for each unit modeled in the current ERCOT loss of load expectation analysis. If the Commission is not satisfied that extreme events are not captured in the current historical outage statistics of units and transmission</w:t>
      </w:r>
      <w:r w:rsidR="00F27829">
        <w:rPr>
          <w:color w:val="231F20"/>
          <w:spacing w:val="-2"/>
          <w:sz w:val="24"/>
        </w:rPr>
        <w:t>,</w:t>
      </w:r>
      <w:r w:rsidRPr="00B16BF9">
        <w:rPr>
          <w:color w:val="231F20"/>
          <w:spacing w:val="-2"/>
          <w:sz w:val="24"/>
        </w:rPr>
        <w:t xml:space="preserve"> then the Commission should investigate the correlation of top causes of historical outages. For example, if natural gas units have an outage statistic of 6%, but if the natural gas pipeline is constrained</w:t>
      </w:r>
      <w:r w:rsidR="00F27829">
        <w:rPr>
          <w:color w:val="231F20"/>
          <w:spacing w:val="-2"/>
          <w:sz w:val="24"/>
        </w:rPr>
        <w:t>,</w:t>
      </w:r>
      <w:r w:rsidRPr="00B16BF9">
        <w:rPr>
          <w:color w:val="231F20"/>
          <w:spacing w:val="-2"/>
          <w:sz w:val="24"/>
        </w:rPr>
        <w:t xml:space="preserve"> leading to an outage statistic of 10%, then the Commission should ask ERCOT to model the 10% statistic instead of the 6% to account for the extreme event that led to </w:t>
      </w:r>
      <w:r w:rsidR="00F27829">
        <w:rPr>
          <w:color w:val="231F20"/>
          <w:spacing w:val="-2"/>
          <w:sz w:val="24"/>
        </w:rPr>
        <w:t xml:space="preserve">an </w:t>
      </w:r>
      <w:r w:rsidRPr="00B16BF9">
        <w:rPr>
          <w:color w:val="231F20"/>
          <w:spacing w:val="-2"/>
          <w:sz w:val="24"/>
        </w:rPr>
        <w:t xml:space="preserve">increased outage for natural gas units. In summary, extreme events are likely captured in the outage statistics of the current analysis. But if the Commission believes that </w:t>
      </w:r>
      <w:r w:rsidR="00520224">
        <w:rPr>
          <w:color w:val="231F20"/>
          <w:spacing w:val="-2"/>
          <w:sz w:val="24"/>
        </w:rPr>
        <w:t xml:space="preserve">modeling of </w:t>
      </w:r>
      <w:r w:rsidRPr="00B16BF9">
        <w:rPr>
          <w:color w:val="231F20"/>
          <w:spacing w:val="-2"/>
          <w:sz w:val="24"/>
        </w:rPr>
        <w:t xml:space="preserve">extreme events </w:t>
      </w:r>
      <w:proofErr w:type="gramStart"/>
      <w:r w:rsidRPr="00B16BF9">
        <w:rPr>
          <w:color w:val="231F20"/>
          <w:spacing w:val="-2"/>
          <w:sz w:val="24"/>
        </w:rPr>
        <w:t>do</w:t>
      </w:r>
      <w:proofErr w:type="gramEnd"/>
      <w:r w:rsidRPr="00B16BF9">
        <w:rPr>
          <w:color w:val="231F20"/>
          <w:spacing w:val="-2"/>
          <w:sz w:val="24"/>
        </w:rPr>
        <w:t xml:space="preserve"> not accurately reflect past historical outages, then the Commission should ask ERCOT to model the correlated outages to more accurately capture the impact of extreme events.</w:t>
      </w:r>
    </w:p>
    <w:p w14:paraId="371221EA" w14:textId="77777777" w:rsidR="00B16BF9" w:rsidRPr="00B16BF9" w:rsidRDefault="00000000">
      <w:pPr>
        <w:pStyle w:val="ListParagraph"/>
        <w:numPr>
          <w:ilvl w:val="1"/>
          <w:numId w:val="1"/>
        </w:numPr>
        <w:tabs>
          <w:tab w:val="left" w:pos="820"/>
          <w:tab w:val="left" w:pos="821"/>
        </w:tabs>
        <w:spacing w:before="183" w:line="259" w:lineRule="auto"/>
        <w:ind w:right="439" w:hanging="720"/>
        <w:rPr>
          <w:b/>
          <w:bCs/>
          <w:sz w:val="24"/>
        </w:rPr>
      </w:pPr>
      <w:r w:rsidRPr="00B16BF9">
        <w:rPr>
          <w:b/>
          <w:bCs/>
          <w:color w:val="231F20"/>
          <w:sz w:val="24"/>
        </w:rPr>
        <w:t>How</w:t>
      </w:r>
      <w:r w:rsidRPr="00B16BF9">
        <w:rPr>
          <w:b/>
          <w:bCs/>
          <w:color w:val="231F20"/>
          <w:spacing w:val="-4"/>
          <w:sz w:val="24"/>
        </w:rPr>
        <w:t xml:space="preserve"> </w:t>
      </w:r>
      <w:r w:rsidRPr="00B16BF9">
        <w:rPr>
          <w:b/>
          <w:bCs/>
          <w:color w:val="231F20"/>
          <w:sz w:val="24"/>
        </w:rPr>
        <w:t>can</w:t>
      </w:r>
      <w:r w:rsidRPr="00B16BF9">
        <w:rPr>
          <w:b/>
          <w:bCs/>
          <w:color w:val="231F20"/>
          <w:spacing w:val="-4"/>
          <w:sz w:val="24"/>
        </w:rPr>
        <w:t xml:space="preserve"> </w:t>
      </w:r>
      <w:r w:rsidRPr="00B16BF9">
        <w:rPr>
          <w:b/>
          <w:bCs/>
          <w:color w:val="231F20"/>
          <w:sz w:val="24"/>
        </w:rPr>
        <w:t>the</w:t>
      </w:r>
      <w:r w:rsidRPr="00B16BF9">
        <w:rPr>
          <w:b/>
          <w:bCs/>
          <w:color w:val="231F20"/>
          <w:spacing w:val="-4"/>
          <w:sz w:val="24"/>
        </w:rPr>
        <w:t xml:space="preserve"> </w:t>
      </w:r>
      <w:r w:rsidRPr="00B16BF9">
        <w:rPr>
          <w:b/>
          <w:bCs/>
          <w:color w:val="231F20"/>
          <w:sz w:val="24"/>
        </w:rPr>
        <w:t>value</w:t>
      </w:r>
      <w:r w:rsidRPr="00B16BF9">
        <w:rPr>
          <w:b/>
          <w:bCs/>
          <w:color w:val="231F20"/>
          <w:spacing w:val="-4"/>
          <w:sz w:val="24"/>
        </w:rPr>
        <w:t xml:space="preserve"> </w:t>
      </w:r>
      <w:r w:rsidRPr="00B16BF9">
        <w:rPr>
          <w:b/>
          <w:bCs/>
          <w:color w:val="231F20"/>
          <w:sz w:val="24"/>
        </w:rPr>
        <w:t>of</w:t>
      </w:r>
      <w:r w:rsidRPr="00B16BF9">
        <w:rPr>
          <w:b/>
          <w:bCs/>
          <w:color w:val="231F20"/>
          <w:spacing w:val="-4"/>
          <w:sz w:val="24"/>
        </w:rPr>
        <w:t xml:space="preserve"> </w:t>
      </w:r>
      <w:r w:rsidRPr="00B16BF9">
        <w:rPr>
          <w:b/>
          <w:bCs/>
          <w:color w:val="231F20"/>
          <w:sz w:val="24"/>
        </w:rPr>
        <w:t>distributed</w:t>
      </w:r>
      <w:r w:rsidRPr="00B16BF9">
        <w:rPr>
          <w:b/>
          <w:bCs/>
          <w:color w:val="231F20"/>
          <w:spacing w:val="-4"/>
          <w:sz w:val="24"/>
        </w:rPr>
        <w:t xml:space="preserve"> </w:t>
      </w:r>
      <w:r w:rsidRPr="00B16BF9">
        <w:rPr>
          <w:b/>
          <w:bCs/>
          <w:color w:val="231F20"/>
          <w:sz w:val="24"/>
        </w:rPr>
        <w:t>energy</w:t>
      </w:r>
      <w:r w:rsidRPr="00B16BF9">
        <w:rPr>
          <w:b/>
          <w:bCs/>
          <w:color w:val="231F20"/>
          <w:spacing w:val="-1"/>
          <w:sz w:val="24"/>
        </w:rPr>
        <w:t xml:space="preserve"> </w:t>
      </w:r>
      <w:r w:rsidRPr="00B16BF9">
        <w:rPr>
          <w:b/>
          <w:bCs/>
          <w:color w:val="231F20"/>
          <w:sz w:val="24"/>
        </w:rPr>
        <w:t>and</w:t>
      </w:r>
      <w:r w:rsidRPr="00B16BF9">
        <w:rPr>
          <w:b/>
          <w:bCs/>
          <w:color w:val="231F20"/>
          <w:spacing w:val="-5"/>
          <w:sz w:val="24"/>
        </w:rPr>
        <w:t xml:space="preserve"> </w:t>
      </w:r>
      <w:r w:rsidRPr="00B16BF9">
        <w:rPr>
          <w:b/>
          <w:bCs/>
          <w:color w:val="231F20"/>
          <w:sz w:val="24"/>
        </w:rPr>
        <w:t>load</w:t>
      </w:r>
      <w:r w:rsidRPr="00B16BF9">
        <w:rPr>
          <w:b/>
          <w:bCs/>
          <w:color w:val="231F20"/>
          <w:spacing w:val="-1"/>
          <w:sz w:val="24"/>
        </w:rPr>
        <w:t xml:space="preserve"> </w:t>
      </w:r>
      <w:r w:rsidRPr="00B16BF9">
        <w:rPr>
          <w:b/>
          <w:bCs/>
          <w:color w:val="231F20"/>
          <w:sz w:val="24"/>
        </w:rPr>
        <w:t>resources</w:t>
      </w:r>
      <w:r w:rsidRPr="00B16BF9">
        <w:rPr>
          <w:b/>
          <w:bCs/>
          <w:color w:val="231F20"/>
          <w:spacing w:val="-4"/>
          <w:sz w:val="24"/>
        </w:rPr>
        <w:t xml:space="preserve"> </w:t>
      </w:r>
      <w:r w:rsidRPr="00B16BF9">
        <w:rPr>
          <w:b/>
          <w:bCs/>
          <w:color w:val="231F20"/>
          <w:sz w:val="24"/>
        </w:rPr>
        <w:t>be</w:t>
      </w:r>
      <w:r w:rsidRPr="00B16BF9">
        <w:rPr>
          <w:b/>
          <w:bCs/>
          <w:color w:val="231F20"/>
          <w:spacing w:val="-4"/>
          <w:sz w:val="24"/>
        </w:rPr>
        <w:t xml:space="preserve"> </w:t>
      </w:r>
      <w:r w:rsidRPr="00B16BF9">
        <w:rPr>
          <w:b/>
          <w:bCs/>
          <w:color w:val="231F20"/>
          <w:sz w:val="24"/>
        </w:rPr>
        <w:t>captured</w:t>
      </w:r>
      <w:r w:rsidRPr="00B16BF9">
        <w:rPr>
          <w:b/>
          <w:bCs/>
          <w:color w:val="231F20"/>
          <w:spacing w:val="-4"/>
          <w:sz w:val="24"/>
        </w:rPr>
        <w:t xml:space="preserve"> </w:t>
      </w:r>
      <w:r w:rsidRPr="00B16BF9">
        <w:rPr>
          <w:b/>
          <w:bCs/>
          <w:color w:val="231F20"/>
          <w:sz w:val="24"/>
        </w:rPr>
        <w:t>in</w:t>
      </w:r>
      <w:r w:rsidRPr="00B16BF9">
        <w:rPr>
          <w:b/>
          <w:bCs/>
          <w:color w:val="231F20"/>
          <w:spacing w:val="-1"/>
          <w:sz w:val="24"/>
        </w:rPr>
        <w:t xml:space="preserve"> </w:t>
      </w:r>
      <w:r w:rsidRPr="00B16BF9">
        <w:rPr>
          <w:b/>
          <w:bCs/>
          <w:color w:val="231F20"/>
          <w:sz w:val="24"/>
        </w:rPr>
        <w:t>a</w:t>
      </w:r>
      <w:r w:rsidRPr="00B16BF9">
        <w:rPr>
          <w:b/>
          <w:bCs/>
          <w:color w:val="231F20"/>
          <w:spacing w:val="-3"/>
          <w:sz w:val="24"/>
        </w:rPr>
        <w:t xml:space="preserve"> </w:t>
      </w:r>
      <w:r w:rsidRPr="00B16BF9">
        <w:rPr>
          <w:b/>
          <w:bCs/>
          <w:color w:val="231F20"/>
          <w:sz w:val="24"/>
        </w:rPr>
        <w:t xml:space="preserve">reliability </w:t>
      </w:r>
      <w:r w:rsidRPr="00B16BF9">
        <w:rPr>
          <w:b/>
          <w:bCs/>
          <w:color w:val="231F20"/>
          <w:spacing w:val="-2"/>
          <w:sz w:val="24"/>
        </w:rPr>
        <w:t>standard?</w:t>
      </w:r>
      <w:r w:rsidR="00A7710B" w:rsidRPr="00B16BF9">
        <w:rPr>
          <w:b/>
          <w:bCs/>
          <w:color w:val="231F20"/>
          <w:spacing w:val="-2"/>
          <w:sz w:val="24"/>
        </w:rPr>
        <w:t xml:space="preserve"> </w:t>
      </w:r>
    </w:p>
    <w:p w14:paraId="1AAE6C5E" w14:textId="6E9119C5" w:rsidR="00082B2D" w:rsidRDefault="00A7710B" w:rsidP="00B16BF9">
      <w:pPr>
        <w:tabs>
          <w:tab w:val="left" w:pos="820"/>
          <w:tab w:val="left" w:pos="821"/>
        </w:tabs>
        <w:spacing w:before="183" w:line="259" w:lineRule="auto"/>
        <w:ind w:left="100" w:right="439"/>
        <w:rPr>
          <w:color w:val="231F20"/>
          <w:spacing w:val="-2"/>
          <w:sz w:val="24"/>
        </w:rPr>
      </w:pPr>
      <w:r w:rsidRPr="00B16BF9">
        <w:rPr>
          <w:color w:val="231F20"/>
          <w:spacing w:val="-2"/>
          <w:sz w:val="24"/>
        </w:rPr>
        <w:t xml:space="preserve">Going back to the example of area </w:t>
      </w:r>
      <w:r w:rsidR="00B16BF9">
        <w:rPr>
          <w:color w:val="231F20"/>
          <w:spacing w:val="-2"/>
          <w:sz w:val="24"/>
        </w:rPr>
        <w:t>A</w:t>
      </w:r>
      <w:r w:rsidR="00F27829">
        <w:rPr>
          <w:color w:val="231F20"/>
          <w:spacing w:val="-2"/>
          <w:sz w:val="24"/>
        </w:rPr>
        <w:t>,</w:t>
      </w:r>
      <w:r w:rsidRPr="00B16BF9">
        <w:rPr>
          <w:color w:val="231F20"/>
          <w:spacing w:val="-2"/>
          <w:sz w:val="24"/>
        </w:rPr>
        <w:t xml:space="preserve"> </w:t>
      </w:r>
      <w:r w:rsidR="00F27829">
        <w:rPr>
          <w:color w:val="231F20"/>
          <w:spacing w:val="-2"/>
          <w:sz w:val="24"/>
        </w:rPr>
        <w:t>which</w:t>
      </w:r>
      <w:r w:rsidRPr="00B16BF9">
        <w:rPr>
          <w:color w:val="231F20"/>
          <w:spacing w:val="-2"/>
          <w:sz w:val="24"/>
        </w:rPr>
        <w:t xml:space="preserve"> </w:t>
      </w:r>
      <w:r w:rsidR="00F27829">
        <w:rPr>
          <w:color w:val="231F20"/>
          <w:spacing w:val="-2"/>
          <w:sz w:val="24"/>
        </w:rPr>
        <w:t>depends upon area B for transmission support, the Commission should investigate the amount of distributed energy resources that provide capacity in</w:t>
      </w:r>
      <w:r w:rsidRPr="00B16BF9">
        <w:rPr>
          <w:color w:val="231F20"/>
          <w:spacing w:val="-2"/>
          <w:sz w:val="24"/>
        </w:rPr>
        <w:t xml:space="preserve"> areas A and B. The hypothesis that needs to be tested in the </w:t>
      </w:r>
      <w:r w:rsidR="00383041" w:rsidRPr="00B16BF9">
        <w:rPr>
          <w:color w:val="231F20"/>
          <w:spacing w:val="-2"/>
          <w:sz w:val="24"/>
        </w:rPr>
        <w:t>ERCOT</w:t>
      </w:r>
      <w:r w:rsidRPr="00B16BF9">
        <w:rPr>
          <w:color w:val="231F20"/>
          <w:spacing w:val="-2"/>
          <w:sz w:val="24"/>
        </w:rPr>
        <w:t xml:space="preserve"> analysis is</w:t>
      </w:r>
      <w:r w:rsidR="00F27829">
        <w:rPr>
          <w:color w:val="231F20"/>
          <w:spacing w:val="-2"/>
          <w:sz w:val="24"/>
        </w:rPr>
        <w:t xml:space="preserve"> that if an area has 100 megawatts of distributed energy resources – 100 units each with one MW capacity- this area is much more reliable than an area with</w:t>
      </w:r>
      <w:r w:rsidR="00383041" w:rsidRPr="00B16BF9">
        <w:rPr>
          <w:color w:val="231F20"/>
          <w:spacing w:val="-2"/>
          <w:sz w:val="24"/>
        </w:rPr>
        <w:t xml:space="preserve"> one single unit of 100 MW capacity. </w:t>
      </w:r>
      <w:r w:rsidR="00B16BF9">
        <w:rPr>
          <w:color w:val="231F20"/>
          <w:spacing w:val="-2"/>
          <w:sz w:val="24"/>
        </w:rPr>
        <w:t>S</w:t>
      </w:r>
      <w:r w:rsidR="00383041" w:rsidRPr="00B16BF9">
        <w:rPr>
          <w:color w:val="231F20"/>
          <w:spacing w:val="-2"/>
          <w:sz w:val="24"/>
        </w:rPr>
        <w:t xml:space="preserve">ince the distributed resources can provide much better reliability where they are located without the need for transmission, a locational requirement </w:t>
      </w:r>
      <w:r w:rsidR="00F27829">
        <w:rPr>
          <w:color w:val="231F20"/>
          <w:spacing w:val="-2"/>
          <w:sz w:val="24"/>
        </w:rPr>
        <w:t>will show how much an area is</w:t>
      </w:r>
      <w:r w:rsidR="00383041" w:rsidRPr="00B16BF9">
        <w:rPr>
          <w:color w:val="231F20"/>
          <w:spacing w:val="-2"/>
          <w:sz w:val="24"/>
        </w:rPr>
        <w:t xml:space="preserve"> dependent on an external area for interconnection support when these distributed resources are not able to deliver capacity. </w:t>
      </w:r>
      <w:r w:rsidR="00F27829">
        <w:rPr>
          <w:color w:val="231F20"/>
          <w:spacing w:val="-2"/>
          <w:sz w:val="24"/>
        </w:rPr>
        <w:t>For example, if an area A has 100 units each of 1 MW solar capacity, if a cloud cover removes that solar production for a couple of hours, area A would depend upon an external area to meet the one-</w:t>
      </w:r>
      <w:r w:rsidR="00383041" w:rsidRPr="00B16BF9">
        <w:rPr>
          <w:color w:val="231F20"/>
          <w:spacing w:val="-2"/>
          <w:sz w:val="24"/>
        </w:rPr>
        <w:t>day</w:t>
      </w:r>
      <w:r w:rsidR="00F27829">
        <w:rPr>
          <w:color w:val="231F20"/>
          <w:spacing w:val="-2"/>
          <w:sz w:val="24"/>
        </w:rPr>
        <w:t>-in-</w:t>
      </w:r>
      <w:r w:rsidR="00383041" w:rsidRPr="00B16BF9">
        <w:rPr>
          <w:color w:val="231F20"/>
          <w:spacing w:val="-2"/>
          <w:sz w:val="24"/>
        </w:rPr>
        <w:t xml:space="preserve">10 standard. </w:t>
      </w:r>
      <w:r w:rsidR="00B16BF9">
        <w:rPr>
          <w:color w:val="231F20"/>
          <w:spacing w:val="-2"/>
          <w:sz w:val="24"/>
        </w:rPr>
        <w:t>A</w:t>
      </w:r>
      <w:r w:rsidR="00383041" w:rsidRPr="00B16BF9">
        <w:rPr>
          <w:color w:val="231F20"/>
          <w:spacing w:val="-2"/>
          <w:sz w:val="24"/>
        </w:rPr>
        <w:t>t the same time</w:t>
      </w:r>
      <w:r w:rsidR="00F27829">
        <w:rPr>
          <w:color w:val="231F20"/>
          <w:spacing w:val="-2"/>
          <w:sz w:val="24"/>
        </w:rPr>
        <w:t>,</w:t>
      </w:r>
      <w:r w:rsidR="00383041" w:rsidRPr="00B16BF9">
        <w:rPr>
          <w:color w:val="231F20"/>
          <w:spacing w:val="-2"/>
          <w:sz w:val="24"/>
        </w:rPr>
        <w:t xml:space="preserve"> the analysis should indicate that area </w:t>
      </w:r>
      <w:r w:rsidR="00B16BF9">
        <w:rPr>
          <w:color w:val="231F20"/>
          <w:spacing w:val="-2"/>
          <w:sz w:val="24"/>
        </w:rPr>
        <w:t>A</w:t>
      </w:r>
      <w:r w:rsidR="00383041" w:rsidRPr="00B16BF9">
        <w:rPr>
          <w:color w:val="231F20"/>
          <w:spacing w:val="-2"/>
          <w:sz w:val="24"/>
        </w:rPr>
        <w:t xml:space="preserve"> can support area B if all those 100 units of one MW solar capacity </w:t>
      </w:r>
      <w:r w:rsidR="00F27829">
        <w:rPr>
          <w:color w:val="231F20"/>
          <w:spacing w:val="-2"/>
          <w:sz w:val="24"/>
        </w:rPr>
        <w:t>produce enough solar to meet the</w:t>
      </w:r>
      <w:r w:rsidR="00383041" w:rsidRPr="00B16BF9">
        <w:rPr>
          <w:color w:val="231F20"/>
          <w:spacing w:val="-2"/>
          <w:sz w:val="24"/>
        </w:rPr>
        <w:t xml:space="preserve"> area</w:t>
      </w:r>
      <w:r w:rsidR="00F27829">
        <w:rPr>
          <w:color w:val="231F20"/>
          <w:spacing w:val="-2"/>
          <w:sz w:val="24"/>
        </w:rPr>
        <w:t>'</w:t>
      </w:r>
      <w:r w:rsidR="00B16BF9">
        <w:rPr>
          <w:color w:val="231F20"/>
          <w:spacing w:val="-2"/>
          <w:sz w:val="24"/>
        </w:rPr>
        <w:t xml:space="preserve">s </w:t>
      </w:r>
      <w:r w:rsidR="00383041" w:rsidRPr="00B16BF9">
        <w:rPr>
          <w:color w:val="231F20"/>
          <w:spacing w:val="-2"/>
          <w:sz w:val="24"/>
        </w:rPr>
        <w:t xml:space="preserve">reliability requirement but can also support area B if needed. </w:t>
      </w:r>
      <w:r w:rsidR="00F27829">
        <w:rPr>
          <w:color w:val="231F20"/>
          <w:spacing w:val="-2"/>
          <w:sz w:val="24"/>
        </w:rPr>
        <w:t xml:space="preserve">A thorough </w:t>
      </w:r>
      <w:r w:rsidR="00520224">
        <w:rPr>
          <w:color w:val="231F20"/>
          <w:spacing w:val="-2"/>
          <w:sz w:val="24"/>
        </w:rPr>
        <w:t xml:space="preserve">LOLE </w:t>
      </w:r>
      <w:r w:rsidR="00F27829">
        <w:rPr>
          <w:color w:val="231F20"/>
          <w:spacing w:val="-2"/>
          <w:sz w:val="24"/>
        </w:rPr>
        <w:t>analysis should indicate the locational value</w:t>
      </w:r>
      <w:r w:rsidR="00383041" w:rsidRPr="00B16BF9">
        <w:rPr>
          <w:color w:val="231F20"/>
          <w:spacing w:val="-2"/>
          <w:sz w:val="24"/>
        </w:rPr>
        <w:t xml:space="preserve"> distributed energy resources and load flexibility provide.</w:t>
      </w:r>
    </w:p>
    <w:p w14:paraId="4FD18BE4" w14:textId="77777777" w:rsidR="005A10E9" w:rsidRDefault="005A10E9" w:rsidP="005A10E9">
      <w:pPr>
        <w:tabs>
          <w:tab w:val="left" w:pos="820"/>
          <w:tab w:val="left" w:pos="821"/>
        </w:tabs>
        <w:spacing w:before="183" w:line="259" w:lineRule="auto"/>
        <w:ind w:left="100" w:right="439"/>
        <w:rPr>
          <w:color w:val="231F20"/>
          <w:spacing w:val="-2"/>
          <w:sz w:val="24"/>
        </w:rPr>
      </w:pPr>
      <w:r w:rsidRPr="005A10E9">
        <w:rPr>
          <w:color w:val="231F20"/>
          <w:spacing w:val="-2"/>
          <w:sz w:val="24"/>
          <w:u w:val="single"/>
        </w:rPr>
        <w:t>Rakon Energy supports the Microgrid Resources Coalition</w:t>
      </w:r>
      <w:r>
        <w:rPr>
          <w:color w:val="231F20"/>
          <w:spacing w:val="-2"/>
          <w:sz w:val="24"/>
        </w:rPr>
        <w:t xml:space="preserve"> (MRC) comments</w:t>
      </w:r>
      <w:r>
        <w:rPr>
          <w:rStyle w:val="FootnoteReference"/>
          <w:color w:val="231F20"/>
          <w:spacing w:val="-2"/>
          <w:sz w:val="24"/>
        </w:rPr>
        <w:footnoteReference w:id="1"/>
      </w:r>
      <w:r>
        <w:rPr>
          <w:color w:val="231F20"/>
          <w:spacing w:val="-2"/>
          <w:sz w:val="24"/>
        </w:rPr>
        <w:t xml:space="preserve"> submitted in response to this question, "</w:t>
      </w:r>
      <w:r w:rsidRPr="005A10E9">
        <w:rPr>
          <w:color w:val="231F20"/>
          <w:spacing w:val="-2"/>
          <w:sz w:val="24"/>
        </w:rPr>
        <w:t>Historical methods</w:t>
      </w:r>
      <w:r>
        <w:rPr>
          <w:color w:val="231F20"/>
          <w:spacing w:val="-2"/>
          <w:sz w:val="24"/>
        </w:rPr>
        <w:t xml:space="preserve"> </w:t>
      </w:r>
      <w:r w:rsidRPr="005A10E9">
        <w:rPr>
          <w:color w:val="231F20"/>
          <w:spacing w:val="-2"/>
          <w:sz w:val="24"/>
        </w:rPr>
        <w:t>have treated load as static values, but in today's system, microgrids (and DERs more broadly)</w:t>
      </w:r>
      <w:r>
        <w:rPr>
          <w:color w:val="231F20"/>
          <w:spacing w:val="-2"/>
          <w:sz w:val="24"/>
        </w:rPr>
        <w:t xml:space="preserve"> </w:t>
      </w:r>
      <w:r w:rsidRPr="005A10E9">
        <w:rPr>
          <w:color w:val="231F20"/>
          <w:spacing w:val="-2"/>
          <w:sz w:val="24"/>
        </w:rPr>
        <w:t>provide highly flexible loads that can either respond for calls to reduce load, or that can in</w:t>
      </w:r>
      <w:r>
        <w:rPr>
          <w:color w:val="231F20"/>
          <w:spacing w:val="-2"/>
          <w:sz w:val="24"/>
        </w:rPr>
        <w:t>j</w:t>
      </w:r>
      <w:r w:rsidRPr="005A10E9">
        <w:rPr>
          <w:color w:val="231F20"/>
          <w:spacing w:val="-2"/>
          <w:sz w:val="24"/>
        </w:rPr>
        <w:t>ect into</w:t>
      </w:r>
      <w:r>
        <w:rPr>
          <w:color w:val="231F20"/>
          <w:spacing w:val="-2"/>
          <w:sz w:val="24"/>
        </w:rPr>
        <w:t xml:space="preserve"> </w:t>
      </w:r>
      <w:r w:rsidRPr="005A10E9">
        <w:rPr>
          <w:color w:val="231F20"/>
          <w:spacing w:val="-2"/>
          <w:sz w:val="24"/>
        </w:rPr>
        <w:t>the system as supply-side resources.</w:t>
      </w:r>
      <w:r>
        <w:rPr>
          <w:color w:val="231F20"/>
          <w:spacing w:val="-2"/>
          <w:sz w:val="24"/>
        </w:rPr>
        <w:t xml:space="preserve">" Rakon Energy respectfully reminds the Commission that LOLE analysis in the past was developed when loads were static, not dynamic. The industry has evolved in the past 40 years, and we can no longer assume static loads in LOLE analysis. Hence the load flexibility provided by DERs must be captured in future ERCOT LOLE analyses. </w:t>
      </w:r>
    </w:p>
    <w:p w14:paraId="48CFA515" w14:textId="77777777" w:rsidR="00713B6D" w:rsidRDefault="005A10E9" w:rsidP="005A10E9">
      <w:pPr>
        <w:tabs>
          <w:tab w:val="left" w:pos="820"/>
          <w:tab w:val="left" w:pos="821"/>
        </w:tabs>
        <w:spacing w:before="183" w:line="259" w:lineRule="auto"/>
        <w:ind w:left="100" w:right="439"/>
        <w:rPr>
          <w:color w:val="231F20"/>
          <w:spacing w:val="-2"/>
          <w:sz w:val="24"/>
        </w:rPr>
      </w:pPr>
      <w:r w:rsidRPr="005A10E9">
        <w:rPr>
          <w:color w:val="231F20"/>
          <w:spacing w:val="-2"/>
          <w:sz w:val="24"/>
          <w:u w:val="single"/>
        </w:rPr>
        <w:lastRenderedPageBreak/>
        <w:t>Rakon Energy supports the Texas Public Power Association</w:t>
      </w:r>
      <w:r>
        <w:rPr>
          <w:color w:val="231F20"/>
          <w:spacing w:val="-2"/>
          <w:sz w:val="24"/>
        </w:rPr>
        <w:t xml:space="preserve"> (TPPA) comment</w:t>
      </w:r>
      <w:r>
        <w:rPr>
          <w:rStyle w:val="FootnoteReference"/>
          <w:color w:val="231F20"/>
          <w:spacing w:val="-2"/>
          <w:sz w:val="24"/>
        </w:rPr>
        <w:footnoteReference w:id="2"/>
      </w:r>
      <w:r>
        <w:rPr>
          <w:color w:val="231F20"/>
          <w:spacing w:val="-2"/>
          <w:sz w:val="24"/>
        </w:rPr>
        <w:t xml:space="preserve"> that the reliability standard should account for the reliability benefits provided by DERs. </w:t>
      </w:r>
    </w:p>
    <w:p w14:paraId="51B30889" w14:textId="77777777" w:rsidR="00713B6D" w:rsidRDefault="00713B6D" w:rsidP="00713B6D">
      <w:pPr>
        <w:tabs>
          <w:tab w:val="left" w:pos="820"/>
          <w:tab w:val="left" w:pos="821"/>
        </w:tabs>
        <w:spacing w:before="183" w:line="259" w:lineRule="auto"/>
        <w:ind w:left="100" w:right="439"/>
        <w:rPr>
          <w:color w:val="231F20"/>
          <w:spacing w:val="-2"/>
          <w:sz w:val="24"/>
        </w:rPr>
      </w:pPr>
      <w:r>
        <w:rPr>
          <w:color w:val="231F20"/>
          <w:spacing w:val="-2"/>
          <w:sz w:val="24"/>
          <w:u w:val="single"/>
        </w:rPr>
        <w:t xml:space="preserve">Rakon Energy supports the CPS Energy </w:t>
      </w:r>
      <w:r>
        <w:rPr>
          <w:color w:val="231F20"/>
          <w:spacing w:val="-2"/>
          <w:sz w:val="24"/>
        </w:rPr>
        <w:t>comment</w:t>
      </w:r>
      <w:r>
        <w:rPr>
          <w:rStyle w:val="FootnoteReference"/>
          <w:color w:val="231F20"/>
          <w:spacing w:val="-2"/>
          <w:sz w:val="24"/>
        </w:rPr>
        <w:footnoteReference w:id="3"/>
      </w:r>
      <w:r>
        <w:rPr>
          <w:color w:val="231F20"/>
          <w:spacing w:val="-2"/>
          <w:sz w:val="24"/>
        </w:rPr>
        <w:t>, "</w:t>
      </w:r>
      <w:r w:rsidRPr="00713B6D">
        <w:rPr>
          <w:color w:val="231F20"/>
          <w:spacing w:val="-2"/>
          <w:sz w:val="24"/>
        </w:rPr>
        <w:t>The</w:t>
      </w:r>
      <w:r>
        <w:rPr>
          <w:color w:val="231F20"/>
          <w:spacing w:val="-2"/>
          <w:sz w:val="24"/>
        </w:rPr>
        <w:t xml:space="preserve"> </w:t>
      </w:r>
      <w:r w:rsidRPr="00713B6D">
        <w:rPr>
          <w:color w:val="231F20"/>
          <w:spacing w:val="-2"/>
          <w:sz w:val="24"/>
        </w:rPr>
        <w:t>reliability impact of a loss of a 10 MW DER acting as a generator is much less than a 400 MW</w:t>
      </w:r>
      <w:r>
        <w:rPr>
          <w:color w:val="231F20"/>
          <w:spacing w:val="-2"/>
          <w:sz w:val="24"/>
        </w:rPr>
        <w:t xml:space="preserve"> </w:t>
      </w:r>
      <w:r w:rsidRPr="00713B6D">
        <w:rPr>
          <w:color w:val="231F20"/>
          <w:spacing w:val="-2"/>
          <w:sz w:val="24"/>
        </w:rPr>
        <w:t>generator, and this should be reflected in the modeling of these resources as ERCOT develops its</w:t>
      </w:r>
      <w:r>
        <w:rPr>
          <w:color w:val="231F20"/>
          <w:spacing w:val="-2"/>
          <w:sz w:val="24"/>
        </w:rPr>
        <w:t xml:space="preserve"> </w:t>
      </w:r>
      <w:r w:rsidRPr="00713B6D">
        <w:rPr>
          <w:color w:val="231F20"/>
          <w:spacing w:val="-2"/>
          <w:sz w:val="24"/>
        </w:rPr>
        <w:t>assumptions for the reliability standard, so the distributed generator forced outage rate is not</w:t>
      </w:r>
      <w:r>
        <w:rPr>
          <w:color w:val="231F20"/>
          <w:spacing w:val="-2"/>
          <w:sz w:val="24"/>
        </w:rPr>
        <w:t xml:space="preserve"> </w:t>
      </w:r>
      <w:r w:rsidRPr="00713B6D">
        <w:rPr>
          <w:color w:val="231F20"/>
          <w:spacing w:val="-2"/>
          <w:sz w:val="24"/>
        </w:rPr>
        <w:t>averaged out as these generators are aggregated.</w:t>
      </w:r>
      <w:r>
        <w:rPr>
          <w:color w:val="231F20"/>
          <w:spacing w:val="-2"/>
          <w:sz w:val="24"/>
        </w:rPr>
        <w:t>"</w:t>
      </w:r>
    </w:p>
    <w:p w14:paraId="6388DAF1" w14:textId="12E9F08A" w:rsidR="00C902E2" w:rsidRDefault="00713B6D" w:rsidP="00713B6D">
      <w:pPr>
        <w:tabs>
          <w:tab w:val="left" w:pos="820"/>
          <w:tab w:val="left" w:pos="821"/>
        </w:tabs>
        <w:spacing w:before="183" w:line="259" w:lineRule="auto"/>
        <w:ind w:left="100" w:right="439"/>
        <w:rPr>
          <w:color w:val="231F20"/>
          <w:spacing w:val="-2"/>
          <w:sz w:val="24"/>
        </w:rPr>
      </w:pPr>
      <w:r>
        <w:rPr>
          <w:color w:val="231F20"/>
          <w:spacing w:val="-2"/>
          <w:sz w:val="24"/>
          <w:u w:val="single"/>
        </w:rPr>
        <w:t>Rakon Energy does not support the following comment</w:t>
      </w:r>
      <w:r>
        <w:rPr>
          <w:rStyle w:val="FootnoteReference"/>
          <w:color w:val="231F20"/>
          <w:spacing w:val="-2"/>
          <w:sz w:val="24"/>
          <w:u w:val="single"/>
        </w:rPr>
        <w:footnoteReference w:id="4"/>
      </w:r>
      <w:r>
        <w:rPr>
          <w:color w:val="231F20"/>
          <w:spacing w:val="-2"/>
          <w:sz w:val="24"/>
          <w:u w:val="single"/>
        </w:rPr>
        <w:t xml:space="preserve"> from South Texas Electric Cooperative (STEC)</w:t>
      </w:r>
      <w:r>
        <w:rPr>
          <w:color w:val="231F20"/>
          <w:spacing w:val="-2"/>
          <w:sz w:val="24"/>
        </w:rPr>
        <w:t xml:space="preserve">, </w:t>
      </w:r>
      <w:r w:rsidR="00C902E2">
        <w:rPr>
          <w:color w:val="231F20"/>
          <w:spacing w:val="-2"/>
          <w:sz w:val="24"/>
        </w:rPr>
        <w:t>"</w:t>
      </w:r>
      <w:r w:rsidRPr="00713B6D">
        <w:rPr>
          <w:color w:val="231F20"/>
          <w:spacing w:val="-2"/>
          <w:sz w:val="24"/>
        </w:rPr>
        <w:t>These</w:t>
      </w:r>
      <w:r>
        <w:rPr>
          <w:color w:val="231F20"/>
          <w:spacing w:val="-2"/>
          <w:sz w:val="24"/>
        </w:rPr>
        <w:t xml:space="preserve"> </w:t>
      </w:r>
      <w:r w:rsidRPr="00713B6D">
        <w:rPr>
          <w:color w:val="231F20"/>
          <w:spacing w:val="-2"/>
          <w:sz w:val="24"/>
        </w:rPr>
        <w:t>would</w:t>
      </w:r>
      <w:r>
        <w:rPr>
          <w:color w:val="231F20"/>
          <w:spacing w:val="-2"/>
          <w:sz w:val="24"/>
        </w:rPr>
        <w:t xml:space="preserve"> </w:t>
      </w:r>
      <w:r w:rsidRPr="00713B6D">
        <w:rPr>
          <w:color w:val="231F20"/>
          <w:spacing w:val="-2"/>
          <w:sz w:val="24"/>
        </w:rPr>
        <w:t>include long-term,</w:t>
      </w:r>
      <w:r>
        <w:rPr>
          <w:color w:val="231F20"/>
          <w:spacing w:val="-2"/>
          <w:sz w:val="24"/>
        </w:rPr>
        <w:t xml:space="preserve"> </w:t>
      </w:r>
      <w:r w:rsidRPr="00713B6D">
        <w:rPr>
          <w:color w:val="231F20"/>
          <w:spacing w:val="-2"/>
          <w:sz w:val="24"/>
        </w:rPr>
        <w:t>continuous</w:t>
      </w:r>
      <w:r>
        <w:rPr>
          <w:color w:val="231F20"/>
          <w:spacing w:val="-2"/>
          <w:sz w:val="24"/>
        </w:rPr>
        <w:t xml:space="preserve"> </w:t>
      </w:r>
      <w:r w:rsidRPr="00713B6D">
        <w:rPr>
          <w:color w:val="231F20"/>
          <w:spacing w:val="-2"/>
          <w:sz w:val="24"/>
        </w:rPr>
        <w:t>dispatch</w:t>
      </w:r>
      <w:r>
        <w:rPr>
          <w:color w:val="231F20"/>
          <w:spacing w:val="-2"/>
          <w:sz w:val="24"/>
        </w:rPr>
        <w:t xml:space="preserve"> </w:t>
      </w:r>
      <w:r w:rsidRPr="00713B6D">
        <w:rPr>
          <w:color w:val="231F20"/>
          <w:spacing w:val="-2"/>
          <w:sz w:val="24"/>
        </w:rPr>
        <w:t>for</w:t>
      </w:r>
      <w:r>
        <w:rPr>
          <w:color w:val="231F20"/>
          <w:spacing w:val="-2"/>
          <w:sz w:val="24"/>
        </w:rPr>
        <w:t xml:space="preserve"> </w:t>
      </w:r>
      <w:r w:rsidRPr="00713B6D">
        <w:rPr>
          <w:color w:val="231F20"/>
          <w:spacing w:val="-2"/>
          <w:sz w:val="24"/>
        </w:rPr>
        <w:t>a</w:t>
      </w:r>
      <w:r>
        <w:rPr>
          <w:color w:val="231F20"/>
          <w:spacing w:val="-2"/>
          <w:sz w:val="24"/>
        </w:rPr>
        <w:t xml:space="preserve"> </w:t>
      </w:r>
      <w:r w:rsidRPr="00713B6D">
        <w:rPr>
          <w:color w:val="231F20"/>
          <w:spacing w:val="-2"/>
          <w:sz w:val="24"/>
        </w:rPr>
        <w:t>period</w:t>
      </w:r>
      <w:r>
        <w:rPr>
          <w:color w:val="231F20"/>
          <w:spacing w:val="-2"/>
          <w:sz w:val="24"/>
        </w:rPr>
        <w:t xml:space="preserve"> </w:t>
      </w:r>
      <w:r w:rsidRPr="00713B6D">
        <w:rPr>
          <w:color w:val="231F20"/>
          <w:spacing w:val="-2"/>
          <w:sz w:val="24"/>
        </w:rPr>
        <w:t>of</w:t>
      </w:r>
      <w:r>
        <w:rPr>
          <w:color w:val="231F20"/>
          <w:spacing w:val="-2"/>
          <w:sz w:val="24"/>
        </w:rPr>
        <w:t xml:space="preserve"> </w:t>
      </w:r>
      <w:r w:rsidRPr="00713B6D">
        <w:rPr>
          <w:color w:val="231F20"/>
          <w:spacing w:val="-2"/>
          <w:sz w:val="24"/>
        </w:rPr>
        <w:t>72</w:t>
      </w:r>
      <w:r>
        <w:rPr>
          <w:color w:val="231F20"/>
          <w:spacing w:val="-2"/>
          <w:sz w:val="24"/>
        </w:rPr>
        <w:t xml:space="preserve"> </w:t>
      </w:r>
      <w:r w:rsidRPr="00713B6D">
        <w:rPr>
          <w:color w:val="231F20"/>
          <w:spacing w:val="-2"/>
          <w:sz w:val="24"/>
        </w:rPr>
        <w:t>hours.</w:t>
      </w:r>
      <w:r w:rsidR="00C902E2">
        <w:rPr>
          <w:color w:val="231F20"/>
          <w:spacing w:val="-2"/>
          <w:sz w:val="24"/>
        </w:rPr>
        <w:t>"</w:t>
      </w:r>
      <w:r>
        <w:rPr>
          <w:color w:val="231F20"/>
          <w:spacing w:val="-2"/>
          <w:sz w:val="24"/>
        </w:rPr>
        <w:t xml:space="preserve"> </w:t>
      </w:r>
      <w:r w:rsidR="00276553">
        <w:rPr>
          <w:color w:val="231F20"/>
          <w:spacing w:val="-2"/>
          <w:sz w:val="24"/>
        </w:rPr>
        <w:t xml:space="preserve">The 72 hours of continuous dispatch requirements for distributed energy and load resources are unsubstantiated and unnecessary. </w:t>
      </w:r>
    </w:p>
    <w:p w14:paraId="3E0C6B1E" w14:textId="7D762467" w:rsidR="00C902E2" w:rsidRDefault="00C902E2" w:rsidP="00C902E2">
      <w:pPr>
        <w:tabs>
          <w:tab w:val="left" w:pos="820"/>
          <w:tab w:val="left" w:pos="821"/>
        </w:tabs>
        <w:spacing w:before="183" w:line="259" w:lineRule="auto"/>
        <w:ind w:left="100" w:right="439"/>
        <w:rPr>
          <w:color w:val="231F20"/>
          <w:spacing w:val="-2"/>
          <w:sz w:val="24"/>
        </w:rPr>
      </w:pPr>
      <w:r>
        <w:rPr>
          <w:color w:val="231F20"/>
          <w:spacing w:val="-2"/>
          <w:sz w:val="24"/>
          <w:u w:val="single"/>
        </w:rPr>
        <w:t>Rakon Energy supports NextEra Energy Resources (NextEra) comment</w:t>
      </w:r>
      <w:r>
        <w:rPr>
          <w:rStyle w:val="FootnoteReference"/>
          <w:color w:val="231F20"/>
          <w:spacing w:val="-2"/>
          <w:sz w:val="24"/>
          <w:u w:val="single"/>
        </w:rPr>
        <w:footnoteReference w:id="5"/>
      </w:r>
      <w:r>
        <w:rPr>
          <w:color w:val="231F20"/>
          <w:spacing w:val="-2"/>
          <w:sz w:val="24"/>
        </w:rPr>
        <w:t>, "</w:t>
      </w:r>
      <w:r w:rsidRPr="00C902E2">
        <w:rPr>
          <w:color w:val="231F20"/>
          <w:spacing w:val="-2"/>
          <w:sz w:val="24"/>
        </w:rPr>
        <w:t>The correct accreditation of distributed energy is the first step in ensuring those resources</w:t>
      </w:r>
      <w:r>
        <w:rPr>
          <w:color w:val="231F20"/>
          <w:spacing w:val="-2"/>
          <w:sz w:val="24"/>
        </w:rPr>
        <w:t xml:space="preserve"> </w:t>
      </w:r>
      <w:r w:rsidRPr="00C902E2">
        <w:rPr>
          <w:color w:val="231F20"/>
          <w:spacing w:val="-2"/>
          <w:sz w:val="24"/>
        </w:rPr>
        <w:t>are most accurately accounted for on the system</w:t>
      </w:r>
      <w:r>
        <w:rPr>
          <w:color w:val="231F20"/>
          <w:spacing w:val="-2"/>
          <w:sz w:val="24"/>
        </w:rPr>
        <w:t xml:space="preserve">." The Commission should require ERCOT to develop an appropriate capacity accreditation for distributed energy and load resources. </w:t>
      </w:r>
    </w:p>
    <w:p w14:paraId="17B23306" w14:textId="0C3A5263" w:rsidR="00C902E2" w:rsidRDefault="00C902E2" w:rsidP="00C902E2">
      <w:pPr>
        <w:tabs>
          <w:tab w:val="left" w:pos="820"/>
          <w:tab w:val="left" w:pos="821"/>
        </w:tabs>
        <w:spacing w:before="183" w:line="259" w:lineRule="auto"/>
        <w:ind w:left="100" w:right="439"/>
        <w:rPr>
          <w:color w:val="231F20"/>
          <w:spacing w:val="-2"/>
          <w:sz w:val="24"/>
        </w:rPr>
      </w:pPr>
      <w:r>
        <w:rPr>
          <w:color w:val="231F20"/>
          <w:spacing w:val="-2"/>
          <w:sz w:val="24"/>
        </w:rPr>
        <w:t xml:space="preserve">Rakon Energy respectfully submits to the Commission that not all distributed energy and load resources are equal. </w:t>
      </w:r>
      <w:r w:rsidRPr="00C902E2">
        <w:rPr>
          <w:color w:val="231F20"/>
          <w:spacing w:val="-2"/>
          <w:sz w:val="24"/>
          <w:u w:val="single"/>
        </w:rPr>
        <w:t>London Economics International alludes</w:t>
      </w:r>
      <w:r>
        <w:rPr>
          <w:color w:val="231F20"/>
          <w:spacing w:val="-2"/>
          <w:sz w:val="24"/>
        </w:rPr>
        <w:t xml:space="preserve"> to this issue in their statement</w:t>
      </w:r>
      <w:r>
        <w:rPr>
          <w:rStyle w:val="FootnoteReference"/>
          <w:color w:val="231F20"/>
          <w:spacing w:val="-2"/>
          <w:sz w:val="24"/>
        </w:rPr>
        <w:footnoteReference w:id="6"/>
      </w:r>
      <w:r>
        <w:rPr>
          <w:color w:val="231F20"/>
          <w:spacing w:val="-2"/>
          <w:sz w:val="24"/>
        </w:rPr>
        <w:t xml:space="preserve">, </w:t>
      </w:r>
      <w:r w:rsidR="001D2BB8">
        <w:rPr>
          <w:color w:val="231F20"/>
          <w:spacing w:val="-2"/>
          <w:sz w:val="24"/>
        </w:rPr>
        <w:t>"</w:t>
      </w:r>
      <w:r w:rsidRPr="00C902E2">
        <w:rPr>
          <w:color w:val="231F20"/>
          <w:spacing w:val="-2"/>
          <w:sz w:val="24"/>
        </w:rPr>
        <w:t>How load resources "perform" under normal and extreme conditions is not solely a</w:t>
      </w:r>
      <w:r>
        <w:rPr>
          <w:color w:val="231F20"/>
          <w:spacing w:val="-2"/>
          <w:sz w:val="24"/>
        </w:rPr>
        <w:t xml:space="preserve"> </w:t>
      </w:r>
      <w:r w:rsidRPr="00C902E2">
        <w:rPr>
          <w:color w:val="231F20"/>
          <w:spacing w:val="-2"/>
          <w:sz w:val="24"/>
        </w:rPr>
        <w:t>function of price signals.</w:t>
      </w:r>
      <w:r w:rsidR="001D2BB8">
        <w:rPr>
          <w:color w:val="231F20"/>
          <w:spacing w:val="-2"/>
          <w:sz w:val="24"/>
        </w:rPr>
        <w:t>"</w:t>
      </w:r>
      <w:r>
        <w:rPr>
          <w:color w:val="231F20"/>
          <w:spacing w:val="-2"/>
          <w:sz w:val="24"/>
        </w:rPr>
        <w:t xml:space="preserve"> There are primarily 2 considerations for the Commission to assess how distributed energy and load resources perform – reliability and economics. Providing a price signal before an emergency incentive gives these resources an economic signal, whereas allowing resources to participate during an emergency event is a reliability signal. ERCOT system needs both to ensure reliability. </w:t>
      </w:r>
    </w:p>
    <w:p w14:paraId="0CCC8FA7" w14:textId="04A2E9BC" w:rsidR="001D2BB8" w:rsidRDefault="00C902E2" w:rsidP="00C902E2">
      <w:pPr>
        <w:tabs>
          <w:tab w:val="left" w:pos="820"/>
          <w:tab w:val="left" w:pos="821"/>
        </w:tabs>
        <w:spacing w:before="183" w:line="259" w:lineRule="auto"/>
        <w:ind w:left="100" w:right="439"/>
        <w:rPr>
          <w:color w:val="231F20"/>
          <w:spacing w:val="-2"/>
          <w:sz w:val="24"/>
        </w:rPr>
      </w:pPr>
      <w:r w:rsidRPr="001D2BB8">
        <w:rPr>
          <w:color w:val="231F20"/>
          <w:spacing w:val="-2"/>
          <w:sz w:val="24"/>
          <w:u w:val="single"/>
        </w:rPr>
        <w:t>Rakon Energy supports RMI's comment</w:t>
      </w:r>
      <w:r>
        <w:rPr>
          <w:rStyle w:val="FootnoteReference"/>
          <w:color w:val="231F20"/>
          <w:spacing w:val="-2"/>
          <w:sz w:val="24"/>
        </w:rPr>
        <w:footnoteReference w:id="7"/>
      </w:r>
      <w:r>
        <w:rPr>
          <w:color w:val="231F20"/>
          <w:spacing w:val="-2"/>
          <w:sz w:val="24"/>
        </w:rPr>
        <w:t xml:space="preserve">, </w:t>
      </w:r>
      <w:r w:rsidR="001D2BB8">
        <w:rPr>
          <w:color w:val="231F20"/>
          <w:spacing w:val="-2"/>
          <w:sz w:val="24"/>
        </w:rPr>
        <w:t>"</w:t>
      </w:r>
      <w:r w:rsidRPr="00C902E2">
        <w:rPr>
          <w:color w:val="231F20"/>
          <w:spacing w:val="-2"/>
          <w:sz w:val="24"/>
        </w:rPr>
        <w:t>Distributed energy resources including virtual power plants and flexible load can play a key role in</w:t>
      </w:r>
      <w:r>
        <w:rPr>
          <w:color w:val="231F20"/>
          <w:spacing w:val="-2"/>
          <w:sz w:val="24"/>
        </w:rPr>
        <w:t xml:space="preserve"> </w:t>
      </w:r>
      <w:r w:rsidRPr="00C902E2">
        <w:rPr>
          <w:color w:val="231F20"/>
          <w:spacing w:val="-2"/>
          <w:sz w:val="24"/>
        </w:rPr>
        <w:t>supporting grid reliability and their contribution should be evaluated consistently with supply-side</w:t>
      </w:r>
      <w:r>
        <w:rPr>
          <w:color w:val="231F20"/>
          <w:spacing w:val="-2"/>
          <w:sz w:val="24"/>
        </w:rPr>
        <w:t xml:space="preserve"> </w:t>
      </w:r>
      <w:r w:rsidRPr="00C902E2">
        <w:rPr>
          <w:color w:val="231F20"/>
          <w:spacing w:val="-2"/>
          <w:sz w:val="24"/>
        </w:rPr>
        <w:t>resources.</w:t>
      </w:r>
      <w:r w:rsidR="001D2BB8">
        <w:rPr>
          <w:color w:val="231F20"/>
          <w:spacing w:val="-2"/>
          <w:sz w:val="24"/>
        </w:rPr>
        <w:t>"</w:t>
      </w:r>
      <w:r>
        <w:rPr>
          <w:color w:val="231F20"/>
          <w:spacing w:val="-2"/>
          <w:sz w:val="24"/>
        </w:rPr>
        <w:t xml:space="preserve"> </w:t>
      </w:r>
    </w:p>
    <w:p w14:paraId="250062BB" w14:textId="0BEBF324" w:rsidR="001D2BB8" w:rsidRDefault="001D2BB8" w:rsidP="001D2BB8">
      <w:pPr>
        <w:tabs>
          <w:tab w:val="left" w:pos="820"/>
          <w:tab w:val="left" w:pos="821"/>
        </w:tabs>
        <w:spacing w:before="183" w:line="259" w:lineRule="auto"/>
        <w:ind w:left="100" w:right="439"/>
        <w:rPr>
          <w:color w:val="231F20"/>
          <w:spacing w:val="-2"/>
          <w:sz w:val="24"/>
        </w:rPr>
      </w:pPr>
      <w:r>
        <w:rPr>
          <w:color w:val="231F20"/>
          <w:spacing w:val="-2"/>
          <w:sz w:val="24"/>
          <w:u w:val="single"/>
        </w:rPr>
        <w:t>Rakon Energy supports NRG Energy's comment</w:t>
      </w:r>
      <w:r>
        <w:rPr>
          <w:rStyle w:val="FootnoteReference"/>
          <w:color w:val="231F20"/>
          <w:spacing w:val="-2"/>
          <w:sz w:val="24"/>
          <w:u w:val="single"/>
        </w:rPr>
        <w:footnoteReference w:id="8"/>
      </w:r>
      <w:r w:rsidRPr="001D2BB8">
        <w:rPr>
          <w:color w:val="231F20"/>
          <w:spacing w:val="-2"/>
          <w:sz w:val="24"/>
        </w:rPr>
        <w:t xml:space="preserve">, </w:t>
      </w:r>
      <w:r>
        <w:rPr>
          <w:color w:val="231F20"/>
          <w:spacing w:val="-2"/>
          <w:sz w:val="24"/>
        </w:rPr>
        <w:t>"</w:t>
      </w:r>
      <w:r w:rsidRPr="001D2BB8">
        <w:rPr>
          <w:color w:val="231F20"/>
          <w:spacing w:val="-2"/>
          <w:sz w:val="24"/>
        </w:rPr>
        <w:t>The strategic energy and</w:t>
      </w:r>
      <w:r>
        <w:rPr>
          <w:color w:val="231F20"/>
          <w:spacing w:val="-2"/>
          <w:sz w:val="24"/>
        </w:rPr>
        <w:t xml:space="preserve"> </w:t>
      </w:r>
      <w:r w:rsidRPr="001D2BB8">
        <w:rPr>
          <w:color w:val="231F20"/>
          <w:spacing w:val="-2"/>
          <w:sz w:val="24"/>
        </w:rPr>
        <w:t xml:space="preserve">risk valuation model ("SERVM') used by ERCOT and </w:t>
      </w:r>
      <w:proofErr w:type="spellStart"/>
      <w:r w:rsidRPr="001D2BB8">
        <w:rPr>
          <w:color w:val="231F20"/>
          <w:spacing w:val="-2"/>
          <w:sz w:val="24"/>
        </w:rPr>
        <w:t>Astrape</w:t>
      </w:r>
      <w:proofErr w:type="spellEnd"/>
      <w:r w:rsidRPr="001D2BB8">
        <w:rPr>
          <w:color w:val="231F20"/>
          <w:spacing w:val="-2"/>
          <w:sz w:val="24"/>
        </w:rPr>
        <w:t xml:space="preserve"> should reflect a range of</w:t>
      </w:r>
      <w:r>
        <w:rPr>
          <w:color w:val="231F20"/>
          <w:spacing w:val="-2"/>
          <w:sz w:val="24"/>
        </w:rPr>
        <w:t xml:space="preserve"> </w:t>
      </w:r>
      <w:r w:rsidRPr="001D2BB8">
        <w:rPr>
          <w:color w:val="231F20"/>
          <w:spacing w:val="-2"/>
          <w:sz w:val="24"/>
        </w:rPr>
        <w:t>distributed energy capacities, startup times, ramp rates, and other factors, as well as varying price</w:t>
      </w:r>
      <w:r>
        <w:rPr>
          <w:color w:val="231F20"/>
          <w:spacing w:val="-2"/>
          <w:sz w:val="24"/>
        </w:rPr>
        <w:t xml:space="preserve"> </w:t>
      </w:r>
      <w:r w:rsidRPr="001D2BB8">
        <w:rPr>
          <w:color w:val="231F20"/>
          <w:spacing w:val="-2"/>
          <w:sz w:val="24"/>
        </w:rPr>
        <w:t>responsiveness of and voluntary load reductions by load resources.</w:t>
      </w:r>
      <w:r>
        <w:rPr>
          <w:color w:val="231F20"/>
          <w:spacing w:val="-2"/>
          <w:sz w:val="24"/>
        </w:rPr>
        <w:t xml:space="preserve">" </w:t>
      </w:r>
    </w:p>
    <w:p w14:paraId="2F0C4368" w14:textId="0F12C1CF" w:rsidR="005A10E9" w:rsidRPr="001D2BB8" w:rsidRDefault="001D2BB8" w:rsidP="001D2BB8">
      <w:pPr>
        <w:tabs>
          <w:tab w:val="left" w:pos="820"/>
          <w:tab w:val="left" w:pos="821"/>
        </w:tabs>
        <w:spacing w:before="183" w:line="259" w:lineRule="auto"/>
        <w:ind w:left="100" w:right="439"/>
        <w:rPr>
          <w:b/>
          <w:bCs/>
          <w:color w:val="231F20"/>
          <w:sz w:val="24"/>
        </w:rPr>
      </w:pPr>
      <w:r>
        <w:rPr>
          <w:color w:val="231F20"/>
          <w:spacing w:val="-2"/>
          <w:sz w:val="24"/>
          <w:u w:val="single"/>
        </w:rPr>
        <w:t>Rakon Energy also supports the following statement</w:t>
      </w:r>
      <w:r>
        <w:rPr>
          <w:rStyle w:val="FootnoteReference"/>
          <w:color w:val="231F20"/>
          <w:spacing w:val="-2"/>
          <w:sz w:val="24"/>
          <w:u w:val="single"/>
        </w:rPr>
        <w:footnoteReference w:id="9"/>
      </w:r>
      <w:r>
        <w:rPr>
          <w:color w:val="231F20"/>
          <w:spacing w:val="-2"/>
          <w:sz w:val="24"/>
          <w:u w:val="single"/>
        </w:rPr>
        <w:t xml:space="preserve"> from Texas Solar Power Association and Solar Energy Industries Association (</w:t>
      </w:r>
      <w:r w:rsidR="00520224">
        <w:rPr>
          <w:color w:val="231F20"/>
          <w:spacing w:val="-2"/>
          <w:sz w:val="24"/>
          <w:u w:val="single"/>
        </w:rPr>
        <w:t>"</w:t>
      </w:r>
      <w:r>
        <w:rPr>
          <w:color w:val="231F20"/>
          <w:spacing w:val="-2"/>
          <w:sz w:val="24"/>
          <w:u w:val="single"/>
        </w:rPr>
        <w:t>Solar Associations</w:t>
      </w:r>
      <w:r w:rsidR="00520224">
        <w:rPr>
          <w:color w:val="231F20"/>
          <w:spacing w:val="-2"/>
          <w:sz w:val="24"/>
          <w:u w:val="single"/>
        </w:rPr>
        <w:t>"</w:t>
      </w:r>
      <w:r>
        <w:rPr>
          <w:color w:val="231F20"/>
          <w:spacing w:val="-2"/>
          <w:sz w:val="24"/>
          <w:u w:val="single"/>
        </w:rPr>
        <w:t xml:space="preserve">), </w:t>
      </w:r>
      <w:r>
        <w:rPr>
          <w:color w:val="231F20"/>
          <w:spacing w:val="-2"/>
          <w:sz w:val="24"/>
        </w:rPr>
        <w:t>"</w:t>
      </w:r>
      <w:r w:rsidRPr="001D2BB8">
        <w:rPr>
          <w:color w:val="231F20"/>
          <w:spacing w:val="-2"/>
          <w:sz w:val="24"/>
        </w:rPr>
        <w:t>Cost transparency will help the Commission determine the most</w:t>
      </w:r>
      <w:r>
        <w:rPr>
          <w:color w:val="231F20"/>
          <w:spacing w:val="-2"/>
          <w:sz w:val="24"/>
        </w:rPr>
        <w:t xml:space="preserve"> </w:t>
      </w:r>
      <w:r w:rsidRPr="001D2BB8">
        <w:rPr>
          <w:color w:val="231F20"/>
          <w:spacing w:val="-2"/>
          <w:sz w:val="24"/>
        </w:rPr>
        <w:t>economic manner in securing system reliability and on allocating dollars between</w:t>
      </w:r>
      <w:r>
        <w:rPr>
          <w:color w:val="231F20"/>
          <w:spacing w:val="-2"/>
          <w:sz w:val="24"/>
        </w:rPr>
        <w:t xml:space="preserve"> </w:t>
      </w:r>
      <w:r w:rsidRPr="001D2BB8">
        <w:rPr>
          <w:color w:val="231F20"/>
          <w:spacing w:val="-2"/>
          <w:sz w:val="24"/>
        </w:rPr>
        <w:t>resource adequacy and increasing investments in transmission and distribution.</w:t>
      </w:r>
      <w:r>
        <w:rPr>
          <w:color w:val="231F20"/>
          <w:spacing w:val="-2"/>
          <w:sz w:val="24"/>
        </w:rPr>
        <w:t xml:space="preserve">"  </w:t>
      </w:r>
      <w:r w:rsidRPr="001D2BB8">
        <w:rPr>
          <w:color w:val="231F20"/>
          <w:spacing w:val="-2"/>
          <w:sz w:val="24"/>
        </w:rPr>
        <w:t xml:space="preserve"> </w:t>
      </w:r>
      <w:r w:rsidR="00C902E2" w:rsidRPr="001D2BB8">
        <w:rPr>
          <w:color w:val="231F20"/>
          <w:spacing w:val="-2"/>
          <w:sz w:val="24"/>
        </w:rPr>
        <w:t xml:space="preserve">  </w:t>
      </w:r>
      <w:r w:rsidR="00C902E2" w:rsidRPr="001D2BB8">
        <w:rPr>
          <w:b/>
          <w:bCs/>
          <w:color w:val="231F20"/>
          <w:sz w:val="24"/>
        </w:rPr>
        <w:t xml:space="preserve"> </w:t>
      </w:r>
      <w:r w:rsidR="00C902E2" w:rsidRPr="001D2BB8">
        <w:rPr>
          <w:b/>
          <w:bCs/>
          <w:color w:val="231F20"/>
          <w:sz w:val="24"/>
        </w:rPr>
        <w:t xml:space="preserve"> </w:t>
      </w:r>
      <w:r w:rsidR="00276553" w:rsidRPr="001D2BB8">
        <w:rPr>
          <w:b/>
          <w:bCs/>
          <w:color w:val="231F20"/>
          <w:sz w:val="24"/>
        </w:rPr>
        <w:t xml:space="preserve">  </w:t>
      </w:r>
      <w:r w:rsidR="00713B6D" w:rsidRPr="001D2BB8">
        <w:rPr>
          <w:b/>
          <w:bCs/>
          <w:color w:val="231F20"/>
          <w:sz w:val="24"/>
        </w:rPr>
        <w:t xml:space="preserve">  </w:t>
      </w:r>
      <w:r w:rsidR="005A10E9" w:rsidRPr="001D2BB8">
        <w:rPr>
          <w:b/>
          <w:bCs/>
          <w:color w:val="231F20"/>
          <w:sz w:val="24"/>
        </w:rPr>
        <w:t xml:space="preserve">  </w:t>
      </w:r>
    </w:p>
    <w:p w14:paraId="30800F24" w14:textId="5921AABB" w:rsidR="00082B2D" w:rsidRPr="00D13401" w:rsidRDefault="00000000">
      <w:pPr>
        <w:pStyle w:val="ListParagraph"/>
        <w:numPr>
          <w:ilvl w:val="0"/>
          <w:numId w:val="1"/>
        </w:numPr>
        <w:tabs>
          <w:tab w:val="left" w:pos="441"/>
        </w:tabs>
        <w:spacing w:line="259" w:lineRule="auto"/>
        <w:ind w:right="266" w:hanging="360"/>
        <w:rPr>
          <w:b/>
          <w:bCs/>
          <w:sz w:val="24"/>
        </w:rPr>
      </w:pPr>
      <w:r w:rsidRPr="00B16BF9">
        <w:rPr>
          <w:b/>
          <w:bCs/>
          <w:color w:val="231F20"/>
          <w:sz w:val="24"/>
        </w:rPr>
        <w:lastRenderedPageBreak/>
        <w:t>How</w:t>
      </w:r>
      <w:r w:rsidRPr="00B16BF9">
        <w:rPr>
          <w:b/>
          <w:bCs/>
          <w:color w:val="231F20"/>
          <w:spacing w:val="-5"/>
          <w:sz w:val="24"/>
        </w:rPr>
        <w:t xml:space="preserve"> </w:t>
      </w:r>
      <w:r w:rsidRPr="00B16BF9">
        <w:rPr>
          <w:b/>
          <w:bCs/>
          <w:color w:val="231F20"/>
          <w:sz w:val="24"/>
        </w:rPr>
        <w:t>frequently</w:t>
      </w:r>
      <w:r w:rsidRPr="00B16BF9">
        <w:rPr>
          <w:b/>
          <w:bCs/>
          <w:color w:val="231F20"/>
          <w:spacing w:val="-5"/>
          <w:sz w:val="24"/>
        </w:rPr>
        <w:t xml:space="preserve"> </w:t>
      </w:r>
      <w:r w:rsidRPr="00B16BF9">
        <w:rPr>
          <w:b/>
          <w:bCs/>
          <w:color w:val="231F20"/>
          <w:sz w:val="24"/>
        </w:rPr>
        <w:t>should</w:t>
      </w:r>
      <w:r w:rsidRPr="00B16BF9">
        <w:rPr>
          <w:b/>
          <w:bCs/>
          <w:color w:val="231F20"/>
          <w:spacing w:val="-5"/>
          <w:sz w:val="24"/>
        </w:rPr>
        <w:t xml:space="preserve"> </w:t>
      </w:r>
      <w:r w:rsidRPr="00B16BF9">
        <w:rPr>
          <w:b/>
          <w:bCs/>
          <w:color w:val="231F20"/>
          <w:sz w:val="24"/>
        </w:rPr>
        <w:t>the</w:t>
      </w:r>
      <w:r w:rsidRPr="00B16BF9">
        <w:rPr>
          <w:b/>
          <w:bCs/>
          <w:color w:val="231F20"/>
          <w:spacing w:val="-4"/>
          <w:sz w:val="24"/>
        </w:rPr>
        <w:t xml:space="preserve"> </w:t>
      </w:r>
      <w:r w:rsidRPr="00B16BF9">
        <w:rPr>
          <w:b/>
          <w:bCs/>
          <w:color w:val="231F20"/>
          <w:sz w:val="24"/>
        </w:rPr>
        <w:t>Commission</w:t>
      </w:r>
      <w:r w:rsidRPr="00B16BF9">
        <w:rPr>
          <w:b/>
          <w:bCs/>
          <w:color w:val="231F20"/>
          <w:spacing w:val="-5"/>
          <w:sz w:val="24"/>
        </w:rPr>
        <w:t xml:space="preserve"> </w:t>
      </w:r>
      <w:r w:rsidRPr="00B16BF9">
        <w:rPr>
          <w:b/>
          <w:bCs/>
          <w:color w:val="231F20"/>
          <w:sz w:val="24"/>
        </w:rPr>
        <w:t>update</w:t>
      </w:r>
      <w:r w:rsidRPr="00B16BF9">
        <w:rPr>
          <w:b/>
          <w:bCs/>
          <w:color w:val="231F20"/>
          <w:spacing w:val="-7"/>
          <w:sz w:val="24"/>
        </w:rPr>
        <w:t xml:space="preserve"> </w:t>
      </w:r>
      <w:r w:rsidRPr="00B16BF9">
        <w:rPr>
          <w:b/>
          <w:bCs/>
          <w:color w:val="231F20"/>
          <w:sz w:val="24"/>
        </w:rPr>
        <w:t>the</w:t>
      </w:r>
      <w:r w:rsidRPr="00B16BF9">
        <w:rPr>
          <w:b/>
          <w:bCs/>
          <w:color w:val="231F20"/>
          <w:spacing w:val="-4"/>
          <w:sz w:val="24"/>
        </w:rPr>
        <w:t xml:space="preserve"> </w:t>
      </w:r>
      <w:r w:rsidRPr="00B16BF9">
        <w:rPr>
          <w:b/>
          <w:bCs/>
          <w:color w:val="231F20"/>
          <w:sz w:val="24"/>
        </w:rPr>
        <w:t>calculation</w:t>
      </w:r>
      <w:r w:rsidRPr="00B16BF9">
        <w:rPr>
          <w:b/>
          <w:bCs/>
          <w:color w:val="231F20"/>
          <w:spacing w:val="-4"/>
          <w:sz w:val="24"/>
        </w:rPr>
        <w:t xml:space="preserve"> </w:t>
      </w:r>
      <w:r w:rsidRPr="00B16BF9">
        <w:rPr>
          <w:b/>
          <w:bCs/>
          <w:color w:val="231F20"/>
          <w:sz w:val="24"/>
        </w:rPr>
        <w:t>of</w:t>
      </w:r>
      <w:r w:rsidRPr="00B16BF9">
        <w:rPr>
          <w:b/>
          <w:bCs/>
          <w:color w:val="231F20"/>
          <w:spacing w:val="-4"/>
          <w:sz w:val="24"/>
        </w:rPr>
        <w:t xml:space="preserve"> </w:t>
      </w:r>
      <w:r w:rsidRPr="00B16BF9">
        <w:rPr>
          <w:b/>
          <w:bCs/>
          <w:color w:val="231F20"/>
          <w:sz w:val="24"/>
        </w:rPr>
        <w:t>the requirement</w:t>
      </w:r>
      <w:r w:rsidRPr="00B16BF9">
        <w:rPr>
          <w:b/>
          <w:bCs/>
          <w:color w:val="231F20"/>
          <w:spacing w:val="-4"/>
          <w:sz w:val="24"/>
        </w:rPr>
        <w:t xml:space="preserve"> </w:t>
      </w:r>
      <w:r w:rsidRPr="00B16BF9">
        <w:rPr>
          <w:b/>
          <w:bCs/>
          <w:color w:val="231F20"/>
          <w:sz w:val="24"/>
        </w:rPr>
        <w:t>necessary to meet the reliability standard?</w:t>
      </w:r>
    </w:p>
    <w:p w14:paraId="7B9FAE6F" w14:textId="0D0C660F" w:rsidR="00D13401" w:rsidRDefault="00D13401" w:rsidP="00D13401">
      <w:pPr>
        <w:tabs>
          <w:tab w:val="left" w:pos="441"/>
        </w:tabs>
        <w:spacing w:line="259" w:lineRule="auto"/>
        <w:ind w:left="100" w:right="266"/>
        <w:rPr>
          <w:b/>
          <w:bCs/>
          <w:sz w:val="24"/>
        </w:rPr>
      </w:pPr>
    </w:p>
    <w:p w14:paraId="262D05F0" w14:textId="77777777" w:rsidR="00D13401" w:rsidRPr="00D13401" w:rsidRDefault="00D13401" w:rsidP="00D13401">
      <w:pPr>
        <w:tabs>
          <w:tab w:val="left" w:pos="821"/>
          <w:tab w:val="left" w:pos="822"/>
        </w:tabs>
        <w:spacing w:line="259" w:lineRule="auto"/>
        <w:ind w:left="100" w:right="422"/>
        <w:rPr>
          <w:sz w:val="24"/>
        </w:rPr>
      </w:pPr>
      <w:r w:rsidRPr="00D13401">
        <w:rPr>
          <w:sz w:val="24"/>
        </w:rPr>
        <w:t xml:space="preserve">Rakon Energy takes no position on this question at this time. </w:t>
      </w:r>
    </w:p>
    <w:p w14:paraId="3BD1AC5F" w14:textId="28498BA0" w:rsidR="00082B2D" w:rsidRPr="00D13401" w:rsidRDefault="00000000">
      <w:pPr>
        <w:pStyle w:val="ListParagraph"/>
        <w:numPr>
          <w:ilvl w:val="1"/>
          <w:numId w:val="1"/>
        </w:numPr>
        <w:tabs>
          <w:tab w:val="left" w:pos="820"/>
          <w:tab w:val="left" w:pos="821"/>
        </w:tabs>
        <w:rPr>
          <w:b/>
          <w:bCs/>
          <w:sz w:val="24"/>
        </w:rPr>
      </w:pPr>
      <w:r w:rsidRPr="00B16BF9">
        <w:rPr>
          <w:b/>
          <w:bCs/>
          <w:color w:val="231F20"/>
          <w:sz w:val="24"/>
        </w:rPr>
        <w:t>What</w:t>
      </w:r>
      <w:r w:rsidRPr="00B16BF9">
        <w:rPr>
          <w:b/>
          <w:bCs/>
          <w:color w:val="231F20"/>
          <w:spacing w:val="-7"/>
          <w:sz w:val="24"/>
        </w:rPr>
        <w:t xml:space="preserve"> </w:t>
      </w:r>
      <w:r w:rsidRPr="00B16BF9">
        <w:rPr>
          <w:b/>
          <w:bCs/>
          <w:color w:val="231F20"/>
          <w:sz w:val="24"/>
        </w:rPr>
        <w:t>criteria</w:t>
      </w:r>
      <w:r w:rsidRPr="00B16BF9">
        <w:rPr>
          <w:b/>
          <w:bCs/>
          <w:color w:val="231F20"/>
          <w:spacing w:val="-5"/>
          <w:sz w:val="24"/>
        </w:rPr>
        <w:t xml:space="preserve"> </w:t>
      </w:r>
      <w:r w:rsidRPr="00B16BF9">
        <w:rPr>
          <w:b/>
          <w:bCs/>
          <w:color w:val="231F20"/>
          <w:sz w:val="24"/>
        </w:rPr>
        <w:t>should</w:t>
      </w:r>
      <w:r w:rsidRPr="00B16BF9">
        <w:rPr>
          <w:b/>
          <w:bCs/>
          <w:color w:val="231F20"/>
          <w:spacing w:val="-5"/>
          <w:sz w:val="24"/>
        </w:rPr>
        <w:t xml:space="preserve"> </w:t>
      </w:r>
      <w:r w:rsidRPr="00B16BF9">
        <w:rPr>
          <w:b/>
          <w:bCs/>
          <w:color w:val="231F20"/>
          <w:sz w:val="24"/>
        </w:rPr>
        <w:t>help</w:t>
      </w:r>
      <w:r w:rsidRPr="00B16BF9">
        <w:rPr>
          <w:b/>
          <w:bCs/>
          <w:color w:val="231F20"/>
          <w:spacing w:val="-3"/>
          <w:sz w:val="24"/>
        </w:rPr>
        <w:t xml:space="preserve"> </w:t>
      </w:r>
      <w:r w:rsidRPr="00B16BF9">
        <w:rPr>
          <w:b/>
          <w:bCs/>
          <w:color w:val="231F20"/>
          <w:sz w:val="24"/>
        </w:rPr>
        <w:t>determine</w:t>
      </w:r>
      <w:r w:rsidRPr="00B16BF9">
        <w:rPr>
          <w:b/>
          <w:bCs/>
          <w:color w:val="231F20"/>
          <w:spacing w:val="-4"/>
          <w:sz w:val="24"/>
        </w:rPr>
        <w:t xml:space="preserve"> </w:t>
      </w:r>
      <w:r w:rsidRPr="00B16BF9">
        <w:rPr>
          <w:b/>
          <w:bCs/>
          <w:color w:val="231F20"/>
          <w:sz w:val="24"/>
        </w:rPr>
        <w:t>the</w:t>
      </w:r>
      <w:r w:rsidRPr="00B16BF9">
        <w:rPr>
          <w:b/>
          <w:bCs/>
          <w:color w:val="231F20"/>
          <w:spacing w:val="-5"/>
          <w:sz w:val="24"/>
        </w:rPr>
        <w:t xml:space="preserve"> </w:t>
      </w:r>
      <w:r w:rsidRPr="00B16BF9">
        <w:rPr>
          <w:b/>
          <w:bCs/>
          <w:color w:val="231F20"/>
          <w:sz w:val="24"/>
        </w:rPr>
        <w:t>frequency</w:t>
      </w:r>
      <w:r w:rsidRPr="00B16BF9">
        <w:rPr>
          <w:b/>
          <w:bCs/>
          <w:color w:val="231F20"/>
          <w:spacing w:val="-3"/>
          <w:sz w:val="24"/>
        </w:rPr>
        <w:t xml:space="preserve"> </w:t>
      </w:r>
      <w:r w:rsidRPr="00B16BF9">
        <w:rPr>
          <w:b/>
          <w:bCs/>
          <w:color w:val="231F20"/>
          <w:sz w:val="24"/>
        </w:rPr>
        <w:t>of</w:t>
      </w:r>
      <w:r w:rsidRPr="00B16BF9">
        <w:rPr>
          <w:b/>
          <w:bCs/>
          <w:color w:val="231F20"/>
          <w:spacing w:val="-5"/>
          <w:sz w:val="24"/>
        </w:rPr>
        <w:t xml:space="preserve"> </w:t>
      </w:r>
      <w:r w:rsidRPr="00B16BF9">
        <w:rPr>
          <w:b/>
          <w:bCs/>
          <w:color w:val="231F20"/>
          <w:sz w:val="24"/>
        </w:rPr>
        <w:t>the</w:t>
      </w:r>
      <w:r w:rsidRPr="00B16BF9">
        <w:rPr>
          <w:b/>
          <w:bCs/>
          <w:color w:val="231F20"/>
          <w:spacing w:val="-4"/>
          <w:sz w:val="24"/>
        </w:rPr>
        <w:t xml:space="preserve"> </w:t>
      </w:r>
      <w:r w:rsidRPr="00B16BF9">
        <w:rPr>
          <w:b/>
          <w:bCs/>
          <w:color w:val="231F20"/>
          <w:spacing w:val="-2"/>
          <w:sz w:val="24"/>
        </w:rPr>
        <w:t>update?</w:t>
      </w:r>
    </w:p>
    <w:p w14:paraId="287E3EE3" w14:textId="582BA8F9" w:rsidR="00D13401" w:rsidRDefault="00D13401" w:rsidP="00D13401">
      <w:pPr>
        <w:tabs>
          <w:tab w:val="left" w:pos="820"/>
          <w:tab w:val="left" w:pos="821"/>
        </w:tabs>
        <w:ind w:left="99"/>
        <w:rPr>
          <w:b/>
          <w:bCs/>
          <w:sz w:val="24"/>
        </w:rPr>
      </w:pPr>
    </w:p>
    <w:p w14:paraId="3B1EA7D1" w14:textId="77777777" w:rsidR="00D13401" w:rsidRPr="00D13401" w:rsidRDefault="00D13401" w:rsidP="00D13401">
      <w:pPr>
        <w:tabs>
          <w:tab w:val="left" w:pos="821"/>
          <w:tab w:val="left" w:pos="822"/>
        </w:tabs>
        <w:spacing w:line="259" w:lineRule="auto"/>
        <w:ind w:left="100" w:right="422"/>
        <w:rPr>
          <w:sz w:val="24"/>
        </w:rPr>
      </w:pPr>
      <w:r w:rsidRPr="00D13401">
        <w:rPr>
          <w:sz w:val="24"/>
        </w:rPr>
        <w:t xml:space="preserve">Rakon Energy takes no position on this question at this time. </w:t>
      </w:r>
    </w:p>
    <w:p w14:paraId="1DFE2D5A" w14:textId="77777777" w:rsidR="00D13401" w:rsidRPr="00D13401" w:rsidRDefault="00D13401" w:rsidP="00D13401">
      <w:pPr>
        <w:tabs>
          <w:tab w:val="left" w:pos="820"/>
          <w:tab w:val="left" w:pos="821"/>
        </w:tabs>
        <w:ind w:left="99"/>
        <w:rPr>
          <w:sz w:val="24"/>
        </w:rPr>
      </w:pPr>
    </w:p>
    <w:p w14:paraId="75CE9F9C" w14:textId="2218D9C4" w:rsidR="00082B2D" w:rsidRPr="00D13401" w:rsidRDefault="00000000">
      <w:pPr>
        <w:pStyle w:val="ListParagraph"/>
        <w:numPr>
          <w:ilvl w:val="0"/>
          <w:numId w:val="1"/>
        </w:numPr>
        <w:tabs>
          <w:tab w:val="left" w:pos="442"/>
        </w:tabs>
        <w:spacing w:before="180" w:line="259" w:lineRule="auto"/>
        <w:ind w:right="287" w:hanging="360"/>
        <w:rPr>
          <w:b/>
          <w:bCs/>
          <w:sz w:val="24"/>
        </w:rPr>
      </w:pPr>
      <w:r w:rsidRPr="00B16BF9">
        <w:rPr>
          <w:b/>
          <w:bCs/>
          <w:color w:val="231F20"/>
          <w:sz w:val="24"/>
        </w:rPr>
        <w:t>If</w:t>
      </w:r>
      <w:r w:rsidRPr="00B16BF9">
        <w:rPr>
          <w:b/>
          <w:bCs/>
          <w:color w:val="231F20"/>
          <w:spacing w:val="-2"/>
          <w:sz w:val="24"/>
        </w:rPr>
        <w:t xml:space="preserve"> </w:t>
      </w:r>
      <w:r w:rsidRPr="00B16BF9">
        <w:rPr>
          <w:b/>
          <w:bCs/>
          <w:color w:val="231F20"/>
          <w:sz w:val="24"/>
        </w:rPr>
        <w:t>you</w:t>
      </w:r>
      <w:r w:rsidRPr="00B16BF9">
        <w:rPr>
          <w:b/>
          <w:bCs/>
          <w:color w:val="231F20"/>
          <w:spacing w:val="-3"/>
          <w:sz w:val="24"/>
        </w:rPr>
        <w:t xml:space="preserve"> </w:t>
      </w:r>
      <w:r w:rsidRPr="00B16BF9">
        <w:rPr>
          <w:b/>
          <w:bCs/>
          <w:color w:val="231F20"/>
          <w:sz w:val="24"/>
        </w:rPr>
        <w:t>have</w:t>
      </w:r>
      <w:r w:rsidRPr="00B16BF9">
        <w:rPr>
          <w:b/>
          <w:bCs/>
          <w:color w:val="231F20"/>
          <w:spacing w:val="-3"/>
          <w:sz w:val="24"/>
        </w:rPr>
        <w:t xml:space="preserve"> </w:t>
      </w:r>
      <w:r w:rsidRPr="00B16BF9">
        <w:rPr>
          <w:b/>
          <w:bCs/>
          <w:color w:val="231F20"/>
          <w:sz w:val="24"/>
        </w:rPr>
        <w:t>any</w:t>
      </w:r>
      <w:r w:rsidRPr="00B16BF9">
        <w:rPr>
          <w:b/>
          <w:bCs/>
          <w:color w:val="231F20"/>
          <w:spacing w:val="-3"/>
          <w:sz w:val="24"/>
        </w:rPr>
        <w:t xml:space="preserve"> </w:t>
      </w:r>
      <w:r w:rsidRPr="00B16BF9">
        <w:rPr>
          <w:b/>
          <w:bCs/>
          <w:color w:val="231F20"/>
          <w:sz w:val="24"/>
        </w:rPr>
        <w:t>industry</w:t>
      </w:r>
      <w:r w:rsidRPr="00B16BF9">
        <w:rPr>
          <w:b/>
          <w:bCs/>
          <w:color w:val="231F20"/>
          <w:spacing w:val="-3"/>
          <w:sz w:val="24"/>
        </w:rPr>
        <w:t xml:space="preserve"> </w:t>
      </w:r>
      <w:r w:rsidRPr="00B16BF9">
        <w:rPr>
          <w:b/>
          <w:bCs/>
          <w:color w:val="231F20"/>
          <w:sz w:val="24"/>
        </w:rPr>
        <w:t>or</w:t>
      </w:r>
      <w:r w:rsidRPr="00B16BF9">
        <w:rPr>
          <w:b/>
          <w:bCs/>
          <w:color w:val="231F20"/>
          <w:spacing w:val="-3"/>
          <w:sz w:val="24"/>
        </w:rPr>
        <w:t xml:space="preserve"> </w:t>
      </w:r>
      <w:r w:rsidRPr="00B16BF9">
        <w:rPr>
          <w:b/>
          <w:bCs/>
          <w:color w:val="231F20"/>
          <w:sz w:val="24"/>
        </w:rPr>
        <w:t>academic</w:t>
      </w:r>
      <w:r w:rsidRPr="00B16BF9">
        <w:rPr>
          <w:b/>
          <w:bCs/>
          <w:color w:val="231F20"/>
          <w:spacing w:val="-3"/>
          <w:sz w:val="24"/>
        </w:rPr>
        <w:t xml:space="preserve"> </w:t>
      </w:r>
      <w:r w:rsidRPr="00B16BF9">
        <w:rPr>
          <w:b/>
          <w:bCs/>
          <w:color w:val="231F20"/>
          <w:sz w:val="24"/>
        </w:rPr>
        <w:t>papers</w:t>
      </w:r>
      <w:r w:rsidRPr="00B16BF9">
        <w:rPr>
          <w:b/>
          <w:bCs/>
          <w:color w:val="231F20"/>
          <w:spacing w:val="-5"/>
          <w:sz w:val="24"/>
        </w:rPr>
        <w:t xml:space="preserve"> </w:t>
      </w:r>
      <w:r w:rsidRPr="00B16BF9">
        <w:rPr>
          <w:b/>
          <w:bCs/>
          <w:color w:val="231F20"/>
          <w:sz w:val="24"/>
        </w:rPr>
        <w:t>on</w:t>
      </w:r>
      <w:r w:rsidRPr="00B16BF9">
        <w:rPr>
          <w:b/>
          <w:bCs/>
          <w:color w:val="231F20"/>
          <w:spacing w:val="-2"/>
          <w:sz w:val="24"/>
        </w:rPr>
        <w:t xml:space="preserve"> </w:t>
      </w:r>
      <w:r w:rsidRPr="00B16BF9">
        <w:rPr>
          <w:b/>
          <w:bCs/>
          <w:color w:val="231F20"/>
          <w:sz w:val="24"/>
        </w:rPr>
        <w:t>the</w:t>
      </w:r>
      <w:r w:rsidRPr="00B16BF9">
        <w:rPr>
          <w:b/>
          <w:bCs/>
          <w:color w:val="231F20"/>
          <w:spacing w:val="-1"/>
          <w:sz w:val="24"/>
        </w:rPr>
        <w:t xml:space="preserve"> </w:t>
      </w:r>
      <w:r w:rsidRPr="00B16BF9">
        <w:rPr>
          <w:b/>
          <w:bCs/>
          <w:color w:val="231F20"/>
          <w:sz w:val="24"/>
        </w:rPr>
        <w:t>topic</w:t>
      </w:r>
      <w:r w:rsidRPr="00B16BF9">
        <w:rPr>
          <w:b/>
          <w:bCs/>
          <w:color w:val="231F20"/>
          <w:spacing w:val="-2"/>
          <w:sz w:val="24"/>
        </w:rPr>
        <w:t xml:space="preserve"> </w:t>
      </w:r>
      <w:r w:rsidRPr="00B16BF9">
        <w:rPr>
          <w:b/>
          <w:bCs/>
          <w:color w:val="231F20"/>
          <w:sz w:val="24"/>
        </w:rPr>
        <w:t>and</w:t>
      </w:r>
      <w:r w:rsidRPr="00B16BF9">
        <w:rPr>
          <w:b/>
          <w:bCs/>
          <w:color w:val="231F20"/>
          <w:spacing w:val="-2"/>
          <w:sz w:val="24"/>
        </w:rPr>
        <w:t xml:space="preserve"> </w:t>
      </w:r>
      <w:r w:rsidRPr="00B16BF9">
        <w:rPr>
          <w:b/>
          <w:bCs/>
          <w:color w:val="231F20"/>
          <w:sz w:val="24"/>
        </w:rPr>
        <w:t>best</w:t>
      </w:r>
      <w:r w:rsidRPr="00B16BF9">
        <w:rPr>
          <w:b/>
          <w:bCs/>
          <w:color w:val="231F20"/>
          <w:spacing w:val="-3"/>
          <w:sz w:val="24"/>
        </w:rPr>
        <w:t xml:space="preserve"> </w:t>
      </w:r>
      <w:r w:rsidRPr="00B16BF9">
        <w:rPr>
          <w:b/>
          <w:bCs/>
          <w:color w:val="231F20"/>
          <w:sz w:val="24"/>
        </w:rPr>
        <w:t>practices</w:t>
      </w:r>
      <w:r w:rsidRPr="00B16BF9">
        <w:rPr>
          <w:b/>
          <w:bCs/>
          <w:color w:val="231F20"/>
          <w:spacing w:val="-3"/>
          <w:sz w:val="24"/>
        </w:rPr>
        <w:t xml:space="preserve"> </w:t>
      </w:r>
      <w:r w:rsidRPr="00B16BF9">
        <w:rPr>
          <w:b/>
          <w:bCs/>
          <w:color w:val="231F20"/>
          <w:sz w:val="24"/>
        </w:rPr>
        <w:t>that</w:t>
      </w:r>
      <w:r w:rsidRPr="00B16BF9">
        <w:rPr>
          <w:b/>
          <w:bCs/>
          <w:color w:val="231F20"/>
          <w:spacing w:val="-2"/>
          <w:sz w:val="24"/>
        </w:rPr>
        <w:t xml:space="preserve"> </w:t>
      </w:r>
      <w:r w:rsidRPr="00B16BF9">
        <w:rPr>
          <w:b/>
          <w:bCs/>
          <w:color w:val="231F20"/>
          <w:sz w:val="24"/>
        </w:rPr>
        <w:t>you</w:t>
      </w:r>
      <w:r w:rsidRPr="00B16BF9">
        <w:rPr>
          <w:b/>
          <w:bCs/>
          <w:color w:val="231F20"/>
          <w:spacing w:val="-3"/>
          <w:sz w:val="24"/>
        </w:rPr>
        <w:t xml:space="preserve"> </w:t>
      </w:r>
      <w:r w:rsidRPr="00B16BF9">
        <w:rPr>
          <w:b/>
          <w:bCs/>
          <w:color w:val="231F20"/>
          <w:sz w:val="24"/>
        </w:rPr>
        <w:t>believe the Commission should review while establishing the reliability standard for the ERCOT power region, please provide them.</w:t>
      </w:r>
    </w:p>
    <w:p w14:paraId="2E66E9B4" w14:textId="48B598F8" w:rsidR="00D13401" w:rsidRDefault="00D13401" w:rsidP="00D13401">
      <w:pPr>
        <w:tabs>
          <w:tab w:val="left" w:pos="442"/>
        </w:tabs>
        <w:spacing w:before="180" w:line="259" w:lineRule="auto"/>
        <w:ind w:left="100" w:right="287"/>
        <w:rPr>
          <w:sz w:val="24"/>
        </w:rPr>
      </w:pPr>
      <w:r w:rsidRPr="00D13401">
        <w:rPr>
          <w:sz w:val="24"/>
        </w:rPr>
        <w:t>MISO</w:t>
      </w:r>
      <w:r>
        <w:rPr>
          <w:sz w:val="24"/>
        </w:rPr>
        <w:t xml:space="preserve">'s LOLE report would be worthwhile for the Commission to review, specifically the Local Resource Zones, Local Reliability Requirement, Local Clearing Requirement, Capacity Import Limits and Capacity Export Limit calculations, and how MISO calculates wind capacity credit from Effective Load Carrying Capability calculations. </w:t>
      </w:r>
    </w:p>
    <w:p w14:paraId="79BA32A3" w14:textId="21C8BD88" w:rsidR="00D13401" w:rsidRDefault="00D13401" w:rsidP="00D13401">
      <w:pPr>
        <w:tabs>
          <w:tab w:val="left" w:pos="442"/>
        </w:tabs>
        <w:spacing w:before="180" w:line="259" w:lineRule="auto"/>
        <w:ind w:left="100" w:right="287"/>
        <w:rPr>
          <w:sz w:val="24"/>
        </w:rPr>
      </w:pPr>
      <w:r>
        <w:rPr>
          <w:sz w:val="24"/>
        </w:rPr>
        <w:t xml:space="preserve">MISO Loss of Load Expectation report for the Planning Year 2022-23 can be found here - </w:t>
      </w:r>
      <w:hyperlink r:id="rId8" w:history="1">
        <w:r w:rsidRPr="00C14CEB">
          <w:rPr>
            <w:rStyle w:val="Hyperlink"/>
            <w:sz w:val="24"/>
          </w:rPr>
          <w:t>https://cdn.misoenergy.org/PY%202022-23%20LOLE%20Study%20Report601325.pdf</w:t>
        </w:r>
      </w:hyperlink>
      <w:r>
        <w:rPr>
          <w:sz w:val="24"/>
        </w:rPr>
        <w:t xml:space="preserve"> </w:t>
      </w:r>
    </w:p>
    <w:p w14:paraId="04D0FB41" w14:textId="159B8B58" w:rsidR="00D13401" w:rsidRDefault="00D13401" w:rsidP="00D13401">
      <w:pPr>
        <w:tabs>
          <w:tab w:val="left" w:pos="442"/>
        </w:tabs>
        <w:spacing w:before="180" w:line="259" w:lineRule="auto"/>
        <w:ind w:left="100" w:right="287"/>
        <w:rPr>
          <w:sz w:val="24"/>
        </w:rPr>
      </w:pPr>
      <w:r>
        <w:rPr>
          <w:sz w:val="24"/>
        </w:rPr>
        <w:t xml:space="preserve">MISO Wind and Solar Capacity Credit report published in March 2023 can be found here - </w:t>
      </w:r>
      <w:hyperlink r:id="rId9" w:history="1">
        <w:r w:rsidRPr="00C14CEB">
          <w:rPr>
            <w:rStyle w:val="Hyperlink"/>
            <w:sz w:val="24"/>
          </w:rPr>
          <w:t>https://cdn.misoenergy.org/2023%20Wind%20and%20Solar%20Capacity%20Credit%20Report628118.pdf</w:t>
        </w:r>
      </w:hyperlink>
      <w:r>
        <w:rPr>
          <w:sz w:val="24"/>
        </w:rPr>
        <w:t xml:space="preserve"> </w:t>
      </w:r>
    </w:p>
    <w:p w14:paraId="0B3D69F1" w14:textId="47EC1BEB" w:rsidR="00D13401" w:rsidRDefault="00D13401" w:rsidP="00D13401">
      <w:pPr>
        <w:tabs>
          <w:tab w:val="left" w:pos="442"/>
        </w:tabs>
        <w:spacing w:before="180" w:line="259" w:lineRule="auto"/>
        <w:ind w:left="100" w:right="287"/>
        <w:rPr>
          <w:sz w:val="24"/>
        </w:rPr>
      </w:pPr>
      <w:r>
        <w:rPr>
          <w:sz w:val="24"/>
        </w:rPr>
        <w:t xml:space="preserve">Information about how MISO Local Resource Zones </w:t>
      </w:r>
      <w:proofErr w:type="gramStart"/>
      <w:r>
        <w:rPr>
          <w:sz w:val="24"/>
        </w:rPr>
        <w:t>are</w:t>
      </w:r>
      <w:proofErr w:type="gramEnd"/>
      <w:r>
        <w:rPr>
          <w:sz w:val="24"/>
        </w:rPr>
        <w:t xml:space="preserve"> determined can be found here - </w:t>
      </w:r>
      <w:hyperlink r:id="rId10" w:history="1">
        <w:r w:rsidRPr="00C14CEB">
          <w:rPr>
            <w:rStyle w:val="Hyperlink"/>
            <w:sz w:val="24"/>
          </w:rPr>
          <w:t>https://help.misoenergy.org/knowledgebase/article/KA-01073/en-us</w:t>
        </w:r>
      </w:hyperlink>
      <w:r>
        <w:rPr>
          <w:sz w:val="24"/>
        </w:rPr>
        <w:t xml:space="preserve"> </w:t>
      </w:r>
    </w:p>
    <w:p w14:paraId="1D810B11" w14:textId="7D410BA1" w:rsidR="00D13401" w:rsidRDefault="00D13401" w:rsidP="00D13401">
      <w:pPr>
        <w:tabs>
          <w:tab w:val="left" w:pos="442"/>
        </w:tabs>
        <w:spacing w:before="180" w:line="259" w:lineRule="auto"/>
        <w:ind w:left="100" w:right="287"/>
        <w:rPr>
          <w:sz w:val="24"/>
        </w:rPr>
      </w:pPr>
      <w:r>
        <w:rPr>
          <w:sz w:val="24"/>
        </w:rPr>
        <w:t xml:space="preserve">MISO Zonal Coincidence Factors are posted here - </w:t>
      </w:r>
      <w:hyperlink r:id="rId11" w:history="1">
        <w:r w:rsidRPr="00C14CEB">
          <w:rPr>
            <w:rStyle w:val="Hyperlink"/>
            <w:sz w:val="24"/>
          </w:rPr>
          <w:t>https://cdn.misoenergy.org/Zonal%20Coincidence%20Factors%202006_2020574464.pdf</w:t>
        </w:r>
      </w:hyperlink>
      <w:r>
        <w:rPr>
          <w:sz w:val="24"/>
        </w:rPr>
        <w:t xml:space="preserve"> </w:t>
      </w:r>
    </w:p>
    <w:p w14:paraId="43680DDC" w14:textId="09E879D5" w:rsidR="00520224" w:rsidRDefault="00520224">
      <w:pPr>
        <w:rPr>
          <w:sz w:val="24"/>
        </w:rPr>
      </w:pPr>
      <w:r>
        <w:rPr>
          <w:sz w:val="24"/>
        </w:rPr>
        <w:br w:type="page"/>
      </w:r>
    </w:p>
    <w:p w14:paraId="369689BD" w14:textId="6832BC29" w:rsidR="00520224" w:rsidRDefault="00520224" w:rsidP="00520224">
      <w:pPr>
        <w:tabs>
          <w:tab w:val="left" w:pos="442"/>
        </w:tabs>
        <w:spacing w:before="180" w:line="259" w:lineRule="auto"/>
        <w:ind w:left="100" w:right="287"/>
        <w:jc w:val="center"/>
        <w:rPr>
          <w:b/>
          <w:bCs/>
          <w:sz w:val="24"/>
        </w:rPr>
      </w:pPr>
      <w:r w:rsidRPr="00520224">
        <w:rPr>
          <w:b/>
          <w:bCs/>
          <w:sz w:val="24"/>
        </w:rPr>
        <w:lastRenderedPageBreak/>
        <w:t xml:space="preserve">Rakon Energy Comments Executive Summary for </w:t>
      </w:r>
      <w:r w:rsidRPr="00520224">
        <w:rPr>
          <w:b/>
          <w:bCs/>
          <w:sz w:val="24"/>
        </w:rPr>
        <w:t>Project No. 54584</w:t>
      </w:r>
    </w:p>
    <w:p w14:paraId="7D696481" w14:textId="4789AA74" w:rsidR="00520224" w:rsidRDefault="00520224" w:rsidP="00520224">
      <w:pPr>
        <w:pStyle w:val="ListParagraph"/>
        <w:numPr>
          <w:ilvl w:val="0"/>
          <w:numId w:val="2"/>
        </w:numPr>
        <w:tabs>
          <w:tab w:val="left" w:pos="442"/>
        </w:tabs>
        <w:spacing w:before="180" w:line="259" w:lineRule="auto"/>
        <w:ind w:right="287"/>
        <w:rPr>
          <w:sz w:val="24"/>
        </w:rPr>
      </w:pPr>
      <w:r w:rsidRPr="00520224">
        <w:rPr>
          <w:sz w:val="24"/>
        </w:rPr>
        <w:t>The Commission should look at reliability metrics from the lens of distributed energy and load resources. The Commission should note that the current reliability metric of one day in 10-year standard started in the industry to put a value on the interconnection support needed for an area from its neighbor.</w:t>
      </w:r>
      <w:r>
        <w:rPr>
          <w:sz w:val="24"/>
        </w:rPr>
        <w:t xml:space="preserve"> </w:t>
      </w:r>
    </w:p>
    <w:p w14:paraId="075CEF99" w14:textId="119472EA" w:rsidR="00520224" w:rsidRDefault="00520224" w:rsidP="00520224">
      <w:pPr>
        <w:pStyle w:val="ListParagraph"/>
        <w:numPr>
          <w:ilvl w:val="0"/>
          <w:numId w:val="2"/>
        </w:numPr>
        <w:tabs>
          <w:tab w:val="left" w:pos="442"/>
        </w:tabs>
        <w:spacing w:before="180" w:line="259" w:lineRule="auto"/>
        <w:ind w:right="287"/>
        <w:rPr>
          <w:sz w:val="24"/>
        </w:rPr>
      </w:pPr>
      <w:r>
        <w:rPr>
          <w:sz w:val="24"/>
        </w:rPr>
        <w:t>T</w:t>
      </w:r>
      <w:r w:rsidRPr="00520224">
        <w:rPr>
          <w:sz w:val="24"/>
        </w:rPr>
        <w:t>he correlation between the transmission line outage and the forced outage rate of the capacity in the external area is the most effective way for the Commission to include deliverability in this reliability standard discussion.</w:t>
      </w:r>
    </w:p>
    <w:p w14:paraId="07092D4A" w14:textId="40F17F99" w:rsidR="00520224" w:rsidRDefault="00520224" w:rsidP="00520224">
      <w:pPr>
        <w:pStyle w:val="ListParagraph"/>
        <w:numPr>
          <w:ilvl w:val="0"/>
          <w:numId w:val="2"/>
        </w:numPr>
        <w:tabs>
          <w:tab w:val="left" w:pos="442"/>
        </w:tabs>
        <w:spacing w:before="180" w:line="259" w:lineRule="auto"/>
        <w:ind w:right="287"/>
        <w:rPr>
          <w:sz w:val="24"/>
        </w:rPr>
      </w:pPr>
      <w:r w:rsidRPr="00520224">
        <w:rPr>
          <w:sz w:val="24"/>
        </w:rPr>
        <w:t>Yes, the reliability standard should include a locational requirement. Because each area has a unique set of resources, both supply and demand and unique characteristics of customers, having a locational requirement enables an accurate description of reliability needs.</w:t>
      </w:r>
    </w:p>
    <w:p w14:paraId="0BB8EA33" w14:textId="7A6F658B" w:rsidR="00520224" w:rsidRDefault="00520224" w:rsidP="00520224">
      <w:pPr>
        <w:pStyle w:val="ListParagraph"/>
        <w:numPr>
          <w:ilvl w:val="0"/>
          <w:numId w:val="2"/>
        </w:numPr>
        <w:tabs>
          <w:tab w:val="left" w:pos="442"/>
        </w:tabs>
        <w:spacing w:before="180" w:line="259" w:lineRule="auto"/>
        <w:ind w:right="287"/>
        <w:rPr>
          <w:sz w:val="24"/>
        </w:rPr>
      </w:pPr>
      <w:r w:rsidRPr="00520224">
        <w:rPr>
          <w:sz w:val="24"/>
        </w:rPr>
        <w:t>Yes, the reliability standard should include a seasonal component.</w:t>
      </w:r>
      <w:r>
        <w:rPr>
          <w:sz w:val="24"/>
        </w:rPr>
        <w:t xml:space="preserve"> Because </w:t>
      </w:r>
      <w:r w:rsidRPr="00520224">
        <w:rPr>
          <w:sz w:val="24"/>
        </w:rPr>
        <w:t xml:space="preserve">variations in maintenance schedules of supply and demand resources </w:t>
      </w:r>
      <w:r>
        <w:rPr>
          <w:sz w:val="24"/>
        </w:rPr>
        <w:t>accurately capture</w:t>
      </w:r>
      <w:r w:rsidRPr="00520224">
        <w:rPr>
          <w:sz w:val="24"/>
        </w:rPr>
        <w:t xml:space="preserve"> the reliability standard required for each season</w:t>
      </w:r>
      <w:r>
        <w:rPr>
          <w:sz w:val="24"/>
        </w:rPr>
        <w:t xml:space="preserve">. </w:t>
      </w:r>
    </w:p>
    <w:p w14:paraId="1E978C4B" w14:textId="75CA973A" w:rsidR="00520224" w:rsidRDefault="00520224" w:rsidP="00520224">
      <w:pPr>
        <w:pStyle w:val="ListParagraph"/>
        <w:numPr>
          <w:ilvl w:val="0"/>
          <w:numId w:val="2"/>
        </w:numPr>
        <w:tabs>
          <w:tab w:val="left" w:pos="442"/>
        </w:tabs>
        <w:spacing w:before="180" w:line="259" w:lineRule="auto"/>
        <w:ind w:right="287"/>
        <w:rPr>
          <w:sz w:val="24"/>
        </w:rPr>
      </w:pPr>
      <w:r>
        <w:rPr>
          <w:sz w:val="24"/>
        </w:rPr>
        <w:t>I</w:t>
      </w:r>
      <w:r w:rsidRPr="00520224">
        <w:rPr>
          <w:sz w:val="24"/>
        </w:rPr>
        <w:t xml:space="preserve">f the Commission believes that </w:t>
      </w:r>
      <w:r>
        <w:rPr>
          <w:sz w:val="24"/>
        </w:rPr>
        <w:t xml:space="preserve">the current modeling of </w:t>
      </w:r>
      <w:r w:rsidRPr="00520224">
        <w:rPr>
          <w:sz w:val="24"/>
        </w:rPr>
        <w:t>extreme events do</w:t>
      </w:r>
      <w:r>
        <w:rPr>
          <w:sz w:val="24"/>
        </w:rPr>
        <w:t>es</w:t>
      </w:r>
      <w:r w:rsidRPr="00520224">
        <w:rPr>
          <w:sz w:val="24"/>
        </w:rPr>
        <w:t xml:space="preserve"> not accurately reflect past historical outages, then the Commission should ask ERCOT to model the correlated outages to </w:t>
      </w:r>
      <w:proofErr w:type="gramStart"/>
      <w:r w:rsidRPr="00520224">
        <w:rPr>
          <w:sz w:val="24"/>
        </w:rPr>
        <w:t>more accurately capture the impact of extreme events</w:t>
      </w:r>
      <w:proofErr w:type="gramEnd"/>
      <w:r>
        <w:rPr>
          <w:sz w:val="24"/>
        </w:rPr>
        <w:t xml:space="preserve">. </w:t>
      </w:r>
    </w:p>
    <w:p w14:paraId="56ED1F9D" w14:textId="79F4ADC3" w:rsidR="00520224" w:rsidRDefault="00520224" w:rsidP="00520224">
      <w:pPr>
        <w:pStyle w:val="ListParagraph"/>
        <w:numPr>
          <w:ilvl w:val="0"/>
          <w:numId w:val="2"/>
        </w:numPr>
        <w:tabs>
          <w:tab w:val="left" w:pos="442"/>
        </w:tabs>
        <w:spacing w:before="180" w:line="259" w:lineRule="auto"/>
        <w:ind w:right="287"/>
        <w:rPr>
          <w:sz w:val="24"/>
        </w:rPr>
      </w:pPr>
      <w:r w:rsidRPr="00520224">
        <w:rPr>
          <w:sz w:val="24"/>
        </w:rPr>
        <w:t xml:space="preserve">A thorough </w:t>
      </w:r>
      <w:r>
        <w:rPr>
          <w:sz w:val="24"/>
        </w:rPr>
        <w:t xml:space="preserve">LOLE </w:t>
      </w:r>
      <w:r w:rsidRPr="00520224">
        <w:rPr>
          <w:sz w:val="24"/>
        </w:rPr>
        <w:t>analysis should indicate the locational value</w:t>
      </w:r>
      <w:r>
        <w:rPr>
          <w:sz w:val="24"/>
        </w:rPr>
        <w:t xml:space="preserve"> </w:t>
      </w:r>
      <w:r w:rsidRPr="00520224">
        <w:rPr>
          <w:sz w:val="24"/>
        </w:rPr>
        <w:t>distributed energy resources and load flexibility provide</w:t>
      </w:r>
      <w:r>
        <w:rPr>
          <w:sz w:val="24"/>
        </w:rPr>
        <w:t xml:space="preserve">. </w:t>
      </w:r>
    </w:p>
    <w:p w14:paraId="43EC43E4" w14:textId="5DA1EB07" w:rsidR="00520224" w:rsidRPr="00520224" w:rsidRDefault="00520224" w:rsidP="00520224">
      <w:pPr>
        <w:pStyle w:val="ListParagraph"/>
        <w:numPr>
          <w:ilvl w:val="0"/>
          <w:numId w:val="2"/>
        </w:numPr>
        <w:tabs>
          <w:tab w:val="left" w:pos="442"/>
        </w:tabs>
        <w:spacing w:before="180" w:line="259" w:lineRule="auto"/>
        <w:ind w:right="287"/>
        <w:rPr>
          <w:sz w:val="24"/>
        </w:rPr>
      </w:pPr>
      <w:r w:rsidRPr="00520224">
        <w:rPr>
          <w:sz w:val="24"/>
        </w:rPr>
        <w:t>MISO's LOLE report would be worthwhile for the Commission to review, specifically the Local Resource Zones, Local Reliability Requirement, Local Clearing Requirement, Capacity Import Limits</w:t>
      </w:r>
      <w:r>
        <w:rPr>
          <w:sz w:val="24"/>
        </w:rPr>
        <w:t>,</w:t>
      </w:r>
      <w:r w:rsidRPr="00520224">
        <w:rPr>
          <w:sz w:val="24"/>
        </w:rPr>
        <w:t xml:space="preserve"> and Capacity Export Limit calculations</w:t>
      </w:r>
      <w:r>
        <w:rPr>
          <w:sz w:val="24"/>
        </w:rPr>
        <w:t xml:space="preserve">. </w:t>
      </w:r>
    </w:p>
    <w:sectPr w:rsidR="00520224" w:rsidRPr="00520224">
      <w:headerReference w:type="default" r:id="rId12"/>
      <w:type w:val="continuous"/>
      <w:pgSz w:w="12240" w:h="15840"/>
      <w:pgMar w:top="1360" w:right="136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EC966" w14:textId="77777777" w:rsidR="00E30FB9" w:rsidRDefault="00E30FB9" w:rsidP="005A10E9">
      <w:r>
        <w:separator/>
      </w:r>
    </w:p>
  </w:endnote>
  <w:endnote w:type="continuationSeparator" w:id="0">
    <w:p w14:paraId="54153A65" w14:textId="77777777" w:rsidR="00E30FB9" w:rsidRDefault="00E30FB9" w:rsidP="005A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483C7" w14:textId="77777777" w:rsidR="00E30FB9" w:rsidRDefault="00E30FB9" w:rsidP="005A10E9">
      <w:r>
        <w:separator/>
      </w:r>
    </w:p>
  </w:footnote>
  <w:footnote w:type="continuationSeparator" w:id="0">
    <w:p w14:paraId="014C36A0" w14:textId="77777777" w:rsidR="00E30FB9" w:rsidRDefault="00E30FB9" w:rsidP="005A10E9">
      <w:r>
        <w:continuationSeparator/>
      </w:r>
    </w:p>
  </w:footnote>
  <w:footnote w:id="1">
    <w:p w14:paraId="0F75AD37" w14:textId="31393715" w:rsidR="005A10E9" w:rsidRDefault="005A10E9">
      <w:pPr>
        <w:pStyle w:val="FootnoteText"/>
      </w:pPr>
      <w:r>
        <w:rPr>
          <w:rStyle w:val="FootnoteReference"/>
        </w:rPr>
        <w:footnoteRef/>
      </w:r>
      <w:r>
        <w:t xml:space="preserve"> MRC Comments, page 3, </w:t>
      </w:r>
      <w:hyperlink r:id="rId1" w:history="1">
        <w:r w:rsidRPr="00C14CEB">
          <w:rPr>
            <w:rStyle w:val="Hyperlink"/>
          </w:rPr>
          <w:t>https://interchange.puc.texas.gov/Documents/54584_5_1284323.PDF</w:t>
        </w:r>
      </w:hyperlink>
      <w:r>
        <w:t xml:space="preserve"> </w:t>
      </w:r>
    </w:p>
  </w:footnote>
  <w:footnote w:id="2">
    <w:p w14:paraId="4589732D" w14:textId="182CCA91" w:rsidR="005A10E9" w:rsidRDefault="005A10E9">
      <w:pPr>
        <w:pStyle w:val="FootnoteText"/>
      </w:pPr>
      <w:r>
        <w:rPr>
          <w:rStyle w:val="FootnoteReference"/>
        </w:rPr>
        <w:footnoteRef/>
      </w:r>
      <w:r>
        <w:t xml:space="preserve"> TPPA comments, page 5, </w:t>
      </w:r>
      <w:hyperlink r:id="rId2" w:history="1">
        <w:r w:rsidRPr="00C14CEB">
          <w:rPr>
            <w:rStyle w:val="Hyperlink"/>
          </w:rPr>
          <w:t>https://interchange.puc.texas.gov/Documents/54584_8_1284353.PDF</w:t>
        </w:r>
      </w:hyperlink>
      <w:r>
        <w:t xml:space="preserve"> </w:t>
      </w:r>
    </w:p>
  </w:footnote>
  <w:footnote w:id="3">
    <w:p w14:paraId="75E0D4A4" w14:textId="7E2E7A02" w:rsidR="00713B6D" w:rsidRDefault="00713B6D">
      <w:pPr>
        <w:pStyle w:val="FootnoteText"/>
      </w:pPr>
      <w:r>
        <w:rPr>
          <w:rStyle w:val="FootnoteReference"/>
        </w:rPr>
        <w:footnoteRef/>
      </w:r>
      <w:r>
        <w:t xml:space="preserve"> CPS Energy comments, page 7, </w:t>
      </w:r>
      <w:hyperlink r:id="rId3" w:history="1">
        <w:r w:rsidRPr="00C14CEB">
          <w:rPr>
            <w:rStyle w:val="Hyperlink"/>
          </w:rPr>
          <w:t>https://interchange.puc.texas.gov/Documents/54584_7_1284345.PDF</w:t>
        </w:r>
      </w:hyperlink>
      <w:r>
        <w:t xml:space="preserve"> </w:t>
      </w:r>
    </w:p>
  </w:footnote>
  <w:footnote w:id="4">
    <w:p w14:paraId="70FA9E08" w14:textId="7C10F9E0" w:rsidR="00713B6D" w:rsidRDefault="00713B6D">
      <w:pPr>
        <w:pStyle w:val="FootnoteText"/>
      </w:pPr>
      <w:r>
        <w:rPr>
          <w:rStyle w:val="FootnoteReference"/>
        </w:rPr>
        <w:footnoteRef/>
      </w:r>
      <w:r>
        <w:t xml:space="preserve"> STEC comments, page 6, </w:t>
      </w:r>
      <w:hyperlink r:id="rId4" w:history="1">
        <w:r w:rsidRPr="00C14CEB">
          <w:rPr>
            <w:rStyle w:val="Hyperlink"/>
          </w:rPr>
          <w:t>https://interchange.puc.texas.gov/Documents/54584_6_1284327.PDF</w:t>
        </w:r>
      </w:hyperlink>
      <w:r>
        <w:t xml:space="preserve"> </w:t>
      </w:r>
    </w:p>
  </w:footnote>
  <w:footnote w:id="5">
    <w:p w14:paraId="385F80B3" w14:textId="6D42DE64" w:rsidR="00C902E2" w:rsidRDefault="00C902E2">
      <w:pPr>
        <w:pStyle w:val="FootnoteText"/>
      </w:pPr>
      <w:r>
        <w:rPr>
          <w:rStyle w:val="FootnoteReference"/>
        </w:rPr>
        <w:footnoteRef/>
      </w:r>
      <w:r>
        <w:t xml:space="preserve"> NextEra comments, page 4, </w:t>
      </w:r>
      <w:hyperlink r:id="rId5" w:history="1">
        <w:r w:rsidRPr="00C14CEB">
          <w:rPr>
            <w:rStyle w:val="Hyperlink"/>
          </w:rPr>
          <w:t>https://interchange.puc.texas.gov/Documents/54584_11_1284379.PDF</w:t>
        </w:r>
      </w:hyperlink>
      <w:r>
        <w:t xml:space="preserve"> </w:t>
      </w:r>
    </w:p>
  </w:footnote>
  <w:footnote w:id="6">
    <w:p w14:paraId="066F5776" w14:textId="5EAE5A87" w:rsidR="00C902E2" w:rsidRPr="00C902E2" w:rsidRDefault="00C902E2">
      <w:pPr>
        <w:pStyle w:val="FootnoteText"/>
      </w:pPr>
      <w:r>
        <w:rPr>
          <w:rStyle w:val="FootnoteReference"/>
        </w:rPr>
        <w:footnoteRef/>
      </w:r>
      <w:r>
        <w:t xml:space="preserve"> London Economics International comments, slide 6, </w:t>
      </w:r>
      <w:hyperlink r:id="rId6" w:history="1">
        <w:r w:rsidRPr="00C14CEB">
          <w:rPr>
            <w:rStyle w:val="Hyperlink"/>
          </w:rPr>
          <w:t>https://interchange.puc.texas.gov/Documents/54584_12_1284380.PDF</w:t>
        </w:r>
      </w:hyperlink>
      <w:r>
        <w:t xml:space="preserve"> </w:t>
      </w:r>
    </w:p>
  </w:footnote>
  <w:footnote w:id="7">
    <w:p w14:paraId="0CC8CA10" w14:textId="41F2CFEB" w:rsidR="00C902E2" w:rsidRDefault="00C902E2">
      <w:pPr>
        <w:pStyle w:val="FootnoteText"/>
      </w:pPr>
      <w:r>
        <w:rPr>
          <w:rStyle w:val="FootnoteReference"/>
        </w:rPr>
        <w:footnoteRef/>
      </w:r>
      <w:r>
        <w:t xml:space="preserve"> RMI comments, page 5, </w:t>
      </w:r>
      <w:hyperlink r:id="rId7" w:history="1">
        <w:r w:rsidRPr="00C14CEB">
          <w:rPr>
            <w:rStyle w:val="Hyperlink"/>
          </w:rPr>
          <w:t>https://interchange.puc.texas.gov/Documents/54584_14_1284412.PDF</w:t>
        </w:r>
      </w:hyperlink>
      <w:r>
        <w:t xml:space="preserve"> </w:t>
      </w:r>
    </w:p>
  </w:footnote>
  <w:footnote w:id="8">
    <w:p w14:paraId="0B8BBAD9" w14:textId="4FD4FFCE" w:rsidR="001D2BB8" w:rsidRPr="001D2BB8" w:rsidRDefault="001D2BB8">
      <w:pPr>
        <w:pStyle w:val="FootnoteText"/>
      </w:pPr>
      <w:r>
        <w:rPr>
          <w:rStyle w:val="FootnoteReference"/>
        </w:rPr>
        <w:footnoteRef/>
      </w:r>
      <w:r>
        <w:t xml:space="preserve"> NRG comments, page 4,</w:t>
      </w:r>
      <w:r w:rsidRPr="001D2BB8">
        <w:t xml:space="preserve"> </w:t>
      </w:r>
      <w:hyperlink r:id="rId8" w:history="1">
        <w:r w:rsidRPr="00C14CEB">
          <w:rPr>
            <w:rStyle w:val="Hyperlink"/>
          </w:rPr>
          <w:t>https://interchange.puc.texas.gov/Documents/54584_16_1284429.PDF</w:t>
        </w:r>
      </w:hyperlink>
      <w:r>
        <w:t xml:space="preserve"> </w:t>
      </w:r>
    </w:p>
  </w:footnote>
  <w:footnote w:id="9">
    <w:p w14:paraId="33A94A04" w14:textId="2B060E03" w:rsidR="001D2BB8" w:rsidRDefault="001D2BB8">
      <w:pPr>
        <w:pStyle w:val="FootnoteText"/>
      </w:pPr>
      <w:r>
        <w:rPr>
          <w:rStyle w:val="FootnoteReference"/>
        </w:rPr>
        <w:footnoteRef/>
      </w:r>
      <w:r>
        <w:t xml:space="preserve"> Solar Associations comments, page 7, </w:t>
      </w:r>
      <w:hyperlink r:id="rId9" w:history="1">
        <w:r w:rsidRPr="00C14CEB">
          <w:rPr>
            <w:rStyle w:val="Hyperlink"/>
          </w:rPr>
          <w:t>https://interchange.puc.texas.gov/Documents/54584_18_1284435.PDF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Content>
      <w:p w14:paraId="457E1785" w14:textId="77777777" w:rsidR="00520224" w:rsidRDefault="00520224">
        <w:pPr>
          <w:pStyle w:val="Head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75047DC9" w14:textId="77777777" w:rsidR="00520224" w:rsidRDefault="00520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97671"/>
    <w:multiLevelType w:val="hybridMultilevel"/>
    <w:tmpl w:val="1D8C0A08"/>
    <w:lvl w:ilvl="0" w:tplc="B36A652E">
      <w:start w:val="1"/>
      <w:numFmt w:val="decimal"/>
      <w:lvlText w:val="(%1)"/>
      <w:lvlJc w:val="left"/>
      <w:pPr>
        <w:ind w:left="460" w:hanging="340"/>
      </w:pPr>
      <w:rPr>
        <w:rFonts w:ascii="Times New Roman" w:eastAsia="Times New Roman" w:hAnsi="Times New Roman" w:cs="Times New Roman" w:hint="default"/>
        <w:b w:val="0"/>
        <w:bCs w:val="0"/>
        <w:i w:val="0"/>
        <w:iCs w:val="0"/>
        <w:color w:val="231F20"/>
        <w:spacing w:val="-1"/>
        <w:w w:val="100"/>
        <w:sz w:val="24"/>
        <w:szCs w:val="24"/>
        <w:lang w:val="en-US" w:eastAsia="en-US" w:bidi="ar-SA"/>
      </w:rPr>
    </w:lvl>
    <w:lvl w:ilvl="1" w:tplc="121C2F1E">
      <w:numFmt w:val="bullet"/>
      <w:lvlText w:val="-"/>
      <w:lvlJc w:val="left"/>
      <w:pPr>
        <w:ind w:left="820" w:hanging="721"/>
      </w:pPr>
      <w:rPr>
        <w:rFonts w:ascii="Times New Roman" w:eastAsia="Times New Roman" w:hAnsi="Times New Roman" w:cs="Times New Roman" w:hint="default"/>
        <w:b w:val="0"/>
        <w:bCs w:val="0"/>
        <w:i w:val="0"/>
        <w:iCs w:val="0"/>
        <w:color w:val="231F20"/>
        <w:w w:val="100"/>
        <w:sz w:val="24"/>
        <w:szCs w:val="24"/>
        <w:lang w:val="en-US" w:eastAsia="en-US" w:bidi="ar-SA"/>
      </w:rPr>
    </w:lvl>
    <w:lvl w:ilvl="2" w:tplc="1D685FA0">
      <w:numFmt w:val="bullet"/>
      <w:lvlText w:val="•"/>
      <w:lvlJc w:val="left"/>
      <w:pPr>
        <w:ind w:left="1788" w:hanging="721"/>
      </w:pPr>
      <w:rPr>
        <w:rFonts w:hint="default"/>
        <w:lang w:val="en-US" w:eastAsia="en-US" w:bidi="ar-SA"/>
      </w:rPr>
    </w:lvl>
    <w:lvl w:ilvl="3" w:tplc="F9721046">
      <w:numFmt w:val="bullet"/>
      <w:lvlText w:val="•"/>
      <w:lvlJc w:val="left"/>
      <w:pPr>
        <w:ind w:left="2757" w:hanging="721"/>
      </w:pPr>
      <w:rPr>
        <w:rFonts w:hint="default"/>
        <w:lang w:val="en-US" w:eastAsia="en-US" w:bidi="ar-SA"/>
      </w:rPr>
    </w:lvl>
    <w:lvl w:ilvl="4" w:tplc="A5E01108">
      <w:numFmt w:val="bullet"/>
      <w:lvlText w:val="•"/>
      <w:lvlJc w:val="left"/>
      <w:pPr>
        <w:ind w:left="3726" w:hanging="721"/>
      </w:pPr>
      <w:rPr>
        <w:rFonts w:hint="default"/>
        <w:lang w:val="en-US" w:eastAsia="en-US" w:bidi="ar-SA"/>
      </w:rPr>
    </w:lvl>
    <w:lvl w:ilvl="5" w:tplc="C7826CE4">
      <w:numFmt w:val="bullet"/>
      <w:lvlText w:val="•"/>
      <w:lvlJc w:val="left"/>
      <w:pPr>
        <w:ind w:left="4695" w:hanging="721"/>
      </w:pPr>
      <w:rPr>
        <w:rFonts w:hint="default"/>
        <w:lang w:val="en-US" w:eastAsia="en-US" w:bidi="ar-SA"/>
      </w:rPr>
    </w:lvl>
    <w:lvl w:ilvl="6" w:tplc="0A329A7C">
      <w:numFmt w:val="bullet"/>
      <w:lvlText w:val="•"/>
      <w:lvlJc w:val="left"/>
      <w:pPr>
        <w:ind w:left="5664" w:hanging="721"/>
      </w:pPr>
      <w:rPr>
        <w:rFonts w:hint="default"/>
        <w:lang w:val="en-US" w:eastAsia="en-US" w:bidi="ar-SA"/>
      </w:rPr>
    </w:lvl>
    <w:lvl w:ilvl="7" w:tplc="21785BF4">
      <w:numFmt w:val="bullet"/>
      <w:lvlText w:val="•"/>
      <w:lvlJc w:val="left"/>
      <w:pPr>
        <w:ind w:left="6633" w:hanging="721"/>
      </w:pPr>
      <w:rPr>
        <w:rFonts w:hint="default"/>
        <w:lang w:val="en-US" w:eastAsia="en-US" w:bidi="ar-SA"/>
      </w:rPr>
    </w:lvl>
    <w:lvl w:ilvl="8" w:tplc="16180DFA">
      <w:numFmt w:val="bullet"/>
      <w:lvlText w:val="•"/>
      <w:lvlJc w:val="left"/>
      <w:pPr>
        <w:ind w:left="7602" w:hanging="721"/>
      </w:pPr>
      <w:rPr>
        <w:rFonts w:hint="default"/>
        <w:lang w:val="en-US" w:eastAsia="en-US" w:bidi="ar-SA"/>
      </w:rPr>
    </w:lvl>
  </w:abstractNum>
  <w:abstractNum w:abstractNumId="1" w15:restartNumberingAfterBreak="0">
    <w:nsid w:val="58D77CB1"/>
    <w:multiLevelType w:val="hybridMultilevel"/>
    <w:tmpl w:val="1D8C0A08"/>
    <w:lvl w:ilvl="0" w:tplc="FFFFFFFF">
      <w:start w:val="1"/>
      <w:numFmt w:val="decimal"/>
      <w:lvlText w:val="(%1)"/>
      <w:lvlJc w:val="left"/>
      <w:pPr>
        <w:ind w:left="460" w:hanging="340"/>
      </w:pPr>
      <w:rPr>
        <w:rFonts w:ascii="Times New Roman" w:eastAsia="Times New Roman" w:hAnsi="Times New Roman" w:cs="Times New Roman" w:hint="default"/>
        <w:b w:val="0"/>
        <w:bCs w:val="0"/>
        <w:i w:val="0"/>
        <w:iCs w:val="0"/>
        <w:color w:val="231F20"/>
        <w:spacing w:val="-1"/>
        <w:w w:val="100"/>
        <w:sz w:val="24"/>
        <w:szCs w:val="24"/>
        <w:lang w:val="en-US" w:eastAsia="en-US" w:bidi="ar-SA"/>
      </w:rPr>
    </w:lvl>
    <w:lvl w:ilvl="1" w:tplc="FFFFFFFF">
      <w:numFmt w:val="bullet"/>
      <w:lvlText w:val="-"/>
      <w:lvlJc w:val="left"/>
      <w:pPr>
        <w:ind w:left="820" w:hanging="721"/>
      </w:pPr>
      <w:rPr>
        <w:rFonts w:ascii="Times New Roman" w:eastAsia="Times New Roman" w:hAnsi="Times New Roman" w:cs="Times New Roman" w:hint="default"/>
        <w:b w:val="0"/>
        <w:bCs w:val="0"/>
        <w:i w:val="0"/>
        <w:iCs w:val="0"/>
        <w:color w:val="231F20"/>
        <w:w w:val="100"/>
        <w:sz w:val="24"/>
        <w:szCs w:val="24"/>
        <w:lang w:val="en-US" w:eastAsia="en-US" w:bidi="ar-SA"/>
      </w:rPr>
    </w:lvl>
    <w:lvl w:ilvl="2" w:tplc="FFFFFFFF">
      <w:numFmt w:val="bullet"/>
      <w:lvlText w:val="•"/>
      <w:lvlJc w:val="left"/>
      <w:pPr>
        <w:ind w:left="1788" w:hanging="721"/>
      </w:pPr>
      <w:rPr>
        <w:rFonts w:hint="default"/>
        <w:lang w:val="en-US" w:eastAsia="en-US" w:bidi="ar-SA"/>
      </w:rPr>
    </w:lvl>
    <w:lvl w:ilvl="3" w:tplc="FFFFFFFF">
      <w:numFmt w:val="bullet"/>
      <w:lvlText w:val="•"/>
      <w:lvlJc w:val="left"/>
      <w:pPr>
        <w:ind w:left="2757" w:hanging="721"/>
      </w:pPr>
      <w:rPr>
        <w:rFonts w:hint="default"/>
        <w:lang w:val="en-US" w:eastAsia="en-US" w:bidi="ar-SA"/>
      </w:rPr>
    </w:lvl>
    <w:lvl w:ilvl="4" w:tplc="FFFFFFFF">
      <w:numFmt w:val="bullet"/>
      <w:lvlText w:val="•"/>
      <w:lvlJc w:val="left"/>
      <w:pPr>
        <w:ind w:left="3726" w:hanging="721"/>
      </w:pPr>
      <w:rPr>
        <w:rFonts w:hint="default"/>
        <w:lang w:val="en-US" w:eastAsia="en-US" w:bidi="ar-SA"/>
      </w:rPr>
    </w:lvl>
    <w:lvl w:ilvl="5" w:tplc="FFFFFFFF">
      <w:numFmt w:val="bullet"/>
      <w:lvlText w:val="•"/>
      <w:lvlJc w:val="left"/>
      <w:pPr>
        <w:ind w:left="4695" w:hanging="721"/>
      </w:pPr>
      <w:rPr>
        <w:rFonts w:hint="default"/>
        <w:lang w:val="en-US" w:eastAsia="en-US" w:bidi="ar-SA"/>
      </w:rPr>
    </w:lvl>
    <w:lvl w:ilvl="6" w:tplc="FFFFFFFF">
      <w:numFmt w:val="bullet"/>
      <w:lvlText w:val="•"/>
      <w:lvlJc w:val="left"/>
      <w:pPr>
        <w:ind w:left="5664" w:hanging="721"/>
      </w:pPr>
      <w:rPr>
        <w:rFonts w:hint="default"/>
        <w:lang w:val="en-US" w:eastAsia="en-US" w:bidi="ar-SA"/>
      </w:rPr>
    </w:lvl>
    <w:lvl w:ilvl="7" w:tplc="FFFFFFFF">
      <w:numFmt w:val="bullet"/>
      <w:lvlText w:val="•"/>
      <w:lvlJc w:val="left"/>
      <w:pPr>
        <w:ind w:left="6633" w:hanging="721"/>
      </w:pPr>
      <w:rPr>
        <w:rFonts w:hint="default"/>
        <w:lang w:val="en-US" w:eastAsia="en-US" w:bidi="ar-SA"/>
      </w:rPr>
    </w:lvl>
    <w:lvl w:ilvl="8" w:tplc="FFFFFFFF">
      <w:numFmt w:val="bullet"/>
      <w:lvlText w:val="•"/>
      <w:lvlJc w:val="left"/>
      <w:pPr>
        <w:ind w:left="7602" w:hanging="721"/>
      </w:pPr>
      <w:rPr>
        <w:rFonts w:hint="default"/>
        <w:lang w:val="en-US" w:eastAsia="en-US" w:bidi="ar-SA"/>
      </w:rPr>
    </w:lvl>
  </w:abstractNum>
  <w:num w:numId="1" w16cid:durableId="16350322">
    <w:abstractNumId w:val="0"/>
  </w:num>
  <w:num w:numId="2" w16cid:durableId="1537622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2MjWwMDc2NzCxMLQwtTBT0lEKTi0uzszPAykwqgUAoigUFywAAAA="/>
  </w:docVars>
  <w:rsids>
    <w:rsidRoot w:val="00082B2D"/>
    <w:rsid w:val="00082B2D"/>
    <w:rsid w:val="0017533D"/>
    <w:rsid w:val="001D2BB8"/>
    <w:rsid w:val="00276553"/>
    <w:rsid w:val="00383041"/>
    <w:rsid w:val="004C7809"/>
    <w:rsid w:val="00520224"/>
    <w:rsid w:val="005A10E9"/>
    <w:rsid w:val="00677EBB"/>
    <w:rsid w:val="006F7D18"/>
    <w:rsid w:val="00713B6D"/>
    <w:rsid w:val="007A5921"/>
    <w:rsid w:val="00A7710B"/>
    <w:rsid w:val="00B16BF9"/>
    <w:rsid w:val="00C902E2"/>
    <w:rsid w:val="00D13401"/>
    <w:rsid w:val="00E30FB9"/>
    <w:rsid w:val="00F27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71E44"/>
  <w15:docId w15:val="{DC4DB61F-0E5F-457C-83F6-CFF29777B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60"/>
      <w:ind w:left="820" w:hanging="720"/>
    </w:pPr>
    <w:rPr>
      <w:sz w:val="24"/>
      <w:szCs w:val="24"/>
    </w:rPr>
  </w:style>
  <w:style w:type="paragraph" w:styleId="Title">
    <w:name w:val="Title"/>
    <w:basedOn w:val="Normal"/>
    <w:uiPriority w:val="10"/>
    <w:qFormat/>
    <w:pPr>
      <w:spacing w:before="79"/>
      <w:ind w:left="100"/>
    </w:pPr>
    <w:rPr>
      <w:b/>
      <w:bCs/>
      <w:sz w:val="24"/>
      <w:szCs w:val="24"/>
    </w:rPr>
  </w:style>
  <w:style w:type="paragraph" w:styleId="ListParagraph">
    <w:name w:val="List Paragraph"/>
    <w:basedOn w:val="Normal"/>
    <w:uiPriority w:val="1"/>
    <w:qFormat/>
    <w:pPr>
      <w:spacing w:before="160"/>
      <w:ind w:left="820" w:hanging="72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13401"/>
    <w:rPr>
      <w:color w:val="0000FF" w:themeColor="hyperlink"/>
      <w:u w:val="single"/>
    </w:rPr>
  </w:style>
  <w:style w:type="character" w:styleId="UnresolvedMention">
    <w:name w:val="Unresolved Mention"/>
    <w:basedOn w:val="DefaultParagraphFont"/>
    <w:uiPriority w:val="99"/>
    <w:semiHidden/>
    <w:unhideWhenUsed/>
    <w:rsid w:val="00D13401"/>
    <w:rPr>
      <w:color w:val="605E5C"/>
      <w:shd w:val="clear" w:color="auto" w:fill="E1DFDD"/>
    </w:rPr>
  </w:style>
  <w:style w:type="paragraph" w:styleId="FootnoteText">
    <w:name w:val="footnote text"/>
    <w:basedOn w:val="Normal"/>
    <w:link w:val="FootnoteTextChar"/>
    <w:uiPriority w:val="99"/>
    <w:semiHidden/>
    <w:unhideWhenUsed/>
    <w:rsid w:val="005A10E9"/>
    <w:rPr>
      <w:sz w:val="20"/>
      <w:szCs w:val="20"/>
    </w:rPr>
  </w:style>
  <w:style w:type="character" w:customStyle="1" w:styleId="FootnoteTextChar">
    <w:name w:val="Footnote Text Char"/>
    <w:basedOn w:val="DefaultParagraphFont"/>
    <w:link w:val="FootnoteText"/>
    <w:uiPriority w:val="99"/>
    <w:semiHidden/>
    <w:rsid w:val="005A10E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A10E9"/>
    <w:rPr>
      <w:vertAlign w:val="superscript"/>
    </w:rPr>
  </w:style>
  <w:style w:type="paragraph" w:styleId="Header">
    <w:name w:val="header"/>
    <w:basedOn w:val="Normal"/>
    <w:link w:val="HeaderChar"/>
    <w:uiPriority w:val="99"/>
    <w:unhideWhenUsed/>
    <w:rsid w:val="00520224"/>
    <w:pPr>
      <w:tabs>
        <w:tab w:val="center" w:pos="4680"/>
        <w:tab w:val="right" w:pos="9360"/>
      </w:tabs>
    </w:pPr>
  </w:style>
  <w:style w:type="character" w:customStyle="1" w:styleId="HeaderChar">
    <w:name w:val="Header Char"/>
    <w:basedOn w:val="DefaultParagraphFont"/>
    <w:link w:val="Header"/>
    <w:uiPriority w:val="99"/>
    <w:rsid w:val="00520224"/>
    <w:rPr>
      <w:rFonts w:ascii="Times New Roman" w:eastAsia="Times New Roman" w:hAnsi="Times New Roman" w:cs="Times New Roman"/>
    </w:rPr>
  </w:style>
  <w:style w:type="paragraph" w:styleId="Footer">
    <w:name w:val="footer"/>
    <w:basedOn w:val="Normal"/>
    <w:link w:val="FooterChar"/>
    <w:uiPriority w:val="99"/>
    <w:unhideWhenUsed/>
    <w:rsid w:val="00520224"/>
    <w:pPr>
      <w:tabs>
        <w:tab w:val="center" w:pos="4680"/>
        <w:tab w:val="right" w:pos="9360"/>
      </w:tabs>
    </w:pPr>
  </w:style>
  <w:style w:type="character" w:customStyle="1" w:styleId="FooterChar">
    <w:name w:val="Footer Char"/>
    <w:basedOn w:val="DefaultParagraphFont"/>
    <w:link w:val="Footer"/>
    <w:uiPriority w:val="99"/>
    <w:rsid w:val="0052022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dn.misoenergy.org/PY%202022-23%20LOLE%20Study%20Report601325.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dn.misoenergy.org/Zonal%20Coincidence%20Factors%202006_2020574464.pdf" TargetMode="External"/><Relationship Id="rId5" Type="http://schemas.openxmlformats.org/officeDocument/2006/relationships/webSettings" Target="webSettings.xml"/><Relationship Id="rId10" Type="http://schemas.openxmlformats.org/officeDocument/2006/relationships/hyperlink" Target="https://help.misoenergy.org/knowledgebase/article/KA-01073/en-us" TargetMode="External"/><Relationship Id="rId4" Type="http://schemas.openxmlformats.org/officeDocument/2006/relationships/settings" Target="settings.xml"/><Relationship Id="rId9" Type="http://schemas.openxmlformats.org/officeDocument/2006/relationships/hyperlink" Target="https://cdn.misoenergy.org/2023%20Wind%20and%20Solar%20Capacity%20Credit%20Report628118.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interchange.puc.texas.gov/Documents/54584_16_1284429.PDF" TargetMode="External"/><Relationship Id="rId3" Type="http://schemas.openxmlformats.org/officeDocument/2006/relationships/hyperlink" Target="https://interchange.puc.texas.gov/Documents/54584_7_1284345.PDF" TargetMode="External"/><Relationship Id="rId7" Type="http://schemas.openxmlformats.org/officeDocument/2006/relationships/hyperlink" Target="https://interchange.puc.texas.gov/Documents/54584_14_1284412.PDF" TargetMode="External"/><Relationship Id="rId2" Type="http://schemas.openxmlformats.org/officeDocument/2006/relationships/hyperlink" Target="https://interchange.puc.texas.gov/Documents/54584_8_1284353.PDF" TargetMode="External"/><Relationship Id="rId1" Type="http://schemas.openxmlformats.org/officeDocument/2006/relationships/hyperlink" Target="https://interchange.puc.texas.gov/Documents/54584_5_1284323.PDF" TargetMode="External"/><Relationship Id="rId6" Type="http://schemas.openxmlformats.org/officeDocument/2006/relationships/hyperlink" Target="https://interchange.puc.texas.gov/Documents/54584_12_1284380.PDF" TargetMode="External"/><Relationship Id="rId5" Type="http://schemas.openxmlformats.org/officeDocument/2006/relationships/hyperlink" Target="https://interchange.puc.texas.gov/Documents/54584_11_1284379.PDF" TargetMode="External"/><Relationship Id="rId4" Type="http://schemas.openxmlformats.org/officeDocument/2006/relationships/hyperlink" Target="https://interchange.puc.texas.gov/Documents/54584_6_1284327.PDF" TargetMode="External"/><Relationship Id="rId9" Type="http://schemas.openxmlformats.org/officeDocument/2006/relationships/hyperlink" Target="https://interchange.puc.texas.gov/Documents/54584_18_128443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DE805-C10C-4FA2-8091-9523EF82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Pages>
  <Words>2584</Words>
  <Characters>14731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ADMINISTRATIVE MEETING COVER SHEET</vt:lpstr>
    </vt:vector>
  </TitlesOfParts>
  <Company/>
  <LinksUpToDate>false</LinksUpToDate>
  <CharactersWithSpaces>17281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ADMINISTRATIVE MEETING COVER SHEET</dc:title>
  <dc:creator>David Smeltzer</dc:creator>
  <cp:lastModifiedBy>Rao Konidena</cp:lastModifiedBy>
  <cp:revision>12</cp:revision>
  <dcterms:created xsi:type="dcterms:W3CDTF">2023-04-04T13:09:00Z</dcterms:created>
  <dcterms:modified xsi:type="dcterms:W3CDTF">2023-04-04T16:50:00Z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2023-04-04T00:00:00Z</vt:filetime>
  </property>
  <property fmtid="{D5CDD505-2E9C-101B-9397-08002B2CF9AE}" pid="3" name="Creator">
    <vt:lpwstr>Microsoft® Word for Microsoft 365</vt:lpwstr>
  </property>
  <property fmtid="{D5CDD505-2E9C-101B-9397-08002B2CF9AE}" pid="4" name="LastSaved">
    <vt:filetime>2023-04-04T00:00:00Z</vt:filetime>
  </property>
  <property fmtid="{D5CDD505-2E9C-101B-9397-08002B2CF9AE}" pid="5" name="Producer">
    <vt:lpwstr>Acrobat Distiller 23.0 (Windows)</vt:lpwstr>
  </property>
</Properties>
</file>